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44F2B">
      <w:pPr>
        <w:pStyle w:val="24"/>
        <w:spacing w:after="156" w:afterLines="50"/>
        <w:rPr>
          <w:rFonts w:hint="eastAsia" w:ascii="仿宋" w:hAnsi="仿宋" w:eastAsia="仿宋"/>
          <w:color w:val="auto"/>
          <w:sz w:val="44"/>
          <w:szCs w:val="44"/>
        </w:rPr>
      </w:pPr>
      <w:r>
        <w:rPr>
          <w:rFonts w:hint="eastAsia" w:ascii="仿宋" w:hAnsi="仿宋" w:eastAsia="仿宋"/>
          <w:color w:val="auto"/>
          <w:sz w:val="44"/>
          <w:szCs w:val="44"/>
        </w:rPr>
        <w:t>白玉县城镇集中供暖工程</w:t>
      </w:r>
    </w:p>
    <w:p w14:paraId="5CB9D2A5">
      <w:pPr>
        <w:pStyle w:val="24"/>
        <w:spacing w:after="156" w:afterLines="50"/>
        <w:rPr>
          <w:rFonts w:ascii="仿宋" w:hAnsi="仿宋" w:eastAsia="仿宋"/>
          <w:color w:val="auto"/>
          <w:sz w:val="44"/>
          <w:szCs w:val="44"/>
        </w:rPr>
      </w:pPr>
      <w:r>
        <w:rPr>
          <w:rFonts w:hint="eastAsia" w:ascii="仿宋" w:hAnsi="仿宋" w:eastAsia="仿宋"/>
          <w:color w:val="auto"/>
          <w:sz w:val="44"/>
          <w:szCs w:val="44"/>
        </w:rPr>
        <w:t>专项债券项目</w:t>
      </w:r>
      <w:bookmarkStart w:id="3" w:name="_GoBack"/>
      <w:bookmarkEnd w:id="3"/>
      <w:r>
        <w:rPr>
          <w:rFonts w:hint="eastAsia" w:ascii="仿宋" w:hAnsi="仿宋" w:eastAsia="仿宋"/>
          <w:color w:val="auto"/>
          <w:sz w:val="44"/>
          <w:szCs w:val="44"/>
        </w:rPr>
        <w:t>情况</w:t>
      </w:r>
    </w:p>
    <w:p w14:paraId="5CB9D2A6">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一、项目基本情况</w:t>
      </w:r>
    </w:p>
    <w:p w14:paraId="5CB9D2A7">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（一）市县及行业专项规划概况</w:t>
      </w:r>
    </w:p>
    <w:p w14:paraId="3D1B934D">
      <w:pPr>
        <w:spacing w:line="360" w:lineRule="auto"/>
        <w:ind w:firstLine="643"/>
        <w:rPr>
          <w:rFonts w:hint="eastAsia"/>
          <w:color w:val="auto"/>
          <w:lang w:bidi="ar"/>
        </w:rPr>
      </w:pPr>
      <w:r>
        <w:rPr>
          <w:rFonts w:hint="eastAsia"/>
          <w:color w:val="auto"/>
          <w:lang w:bidi="ar"/>
        </w:rPr>
        <w:t>白玉县幅员面积10591平方公里，辖16个乡（镇）：建设镇、金沙乡、绒盖乡、麻绒乡、章都乡、盖玉镇、沙马乡、阿察镇、安孜乡、麻邛乡、纳塔乡、辽西乡、河坡镇、热加乡、赠科乡、灯龙乡，4个镇、12个乡（130个行政村、2个社区）总人口5.7万人，居住着汉、藏等15个民族，县城驻地建设镇，海拔3050米，距州府康定622公里，距省会成都998公里，县境内平均海拔3500米。强化城市功能布局，加快推进新型城镇化白玉县城整体作为一个旅游区来打造，依托白玉寺、民族村落，博美山森林公园，偶曲河，形成“一水中流，两园对峙”的宜居、宜旅、宜游的藏文化旅游小镇。基本构建成了：“一心、四组团”的布局结构。“一心”指位于旧城的旅游服务、商贸中心。“四组团”是指由城市主要干道串联起来四个城市功能组团。旧城组团（城市中心组团区）：主要以行政、旅游、展览、金融、文化、生活职能等。白玉县域的行政管理中心、金融中心、产业发展中心、文化教育中心，是吸引县域人口转移的主要目的地。森工局北部组团（城东北组团区）：主要以文化、居住组团等。森工局南部组团（城东南组团区）：主要以居住组团。建设镇麻通组团（城西组团区）：主要以外向型职能（旅游服务、居住等）。四川省“十四五”规划指出，充分发挥四川资源与技术优势，打造以天然气分布式热源为主，太阳能热水、污水源热泵、地源热泵、空气源热泵等多种可再生能源为补充的“分布式热源集中供暖”模式，支持成都开展“集中供暖”示范行动，探索城市集中供热“四川”模式。对阿坝州、甘孜州、凉山州等四川高寒高海拔地区既有供热设施系统进行清洁化改造，按照企业为主、政府推动、居民可承受的方针，宜气则气、宜电则电，尽可能利用清洁能源，加快提高清洁供暖比重。推进高寒高海拔地区县城集中供暖工程建设，加快热源厂及配套热网建设，完成既有供热系统节能改造工作，推进供热计量收费，提高供热管网输配效率、供热装备技术水平和运行人员技术素质，提高三州地区县城集中供热覆盖面。《甘孜州“十四五”城乡基础设施建设规划（2021—2025）》中指出，坚持系统观念，统筹发展与民生，改善高寒高海拔县城基本生产生活条件，实施“高原宜居工程”，因地制宜抓好高寒、高海拔城镇集中供暖、供氧民生实事，提升宜居水平。推进高寒地区集中供暖。按照“企业为主、政府推动、居民可承受”的方针，提升城市能源使用效率，大力发展适应本地资源禀赋和需求的可再生能源，因地制宜开发利用地热源、超低温空气源热、太阳能+电锅炉等，推动区域集中清洁供暖，争取供暖政策。重点推进石渠、色达、理塘、稻城等城镇集中供暖项目建设。</w:t>
      </w:r>
    </w:p>
    <w:p w14:paraId="5CB9D2AB">
      <w:pPr>
        <w:spacing w:line="360" w:lineRule="auto"/>
        <w:ind w:firstLine="643"/>
        <w:rPr>
          <w:rFonts w:ascii="仿宋" w:hAnsi="仿宋" w:eastAsia="仿宋"/>
          <w:b/>
          <w:color w:val="auto"/>
          <w:sz w:val="32"/>
          <w:szCs w:val="32"/>
        </w:rPr>
      </w:pPr>
      <w:r>
        <w:rPr>
          <w:rFonts w:hint="eastAsia" w:ascii="仿宋" w:hAnsi="仿宋" w:eastAsia="仿宋"/>
          <w:b/>
          <w:color w:val="auto"/>
          <w:sz w:val="32"/>
          <w:szCs w:val="32"/>
        </w:rPr>
        <w:t>（二）项目情况</w:t>
      </w:r>
    </w:p>
    <w:p w14:paraId="5CB9D2AC">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1.参与主体</w:t>
      </w:r>
    </w:p>
    <w:p w14:paraId="5CB9D2AD">
      <w:pPr>
        <w:ind w:firstLine="480"/>
        <w:rPr>
          <w:rFonts w:hint="eastAsia"/>
          <w:color w:val="auto"/>
          <w:lang w:bidi="ar"/>
        </w:rPr>
      </w:pPr>
      <w:r>
        <w:rPr>
          <w:rFonts w:hint="eastAsia"/>
          <w:color w:val="auto"/>
          <w:lang w:bidi="ar"/>
        </w:rPr>
        <w:t>实施机构（行业主管部门）：甘孜藏族自治州住房和城乡建设局</w:t>
      </w:r>
    </w:p>
    <w:p w14:paraId="5CB9D2AE">
      <w:pPr>
        <w:ind w:firstLine="480"/>
        <w:rPr>
          <w:rFonts w:hint="eastAsia"/>
          <w:color w:val="auto"/>
          <w:lang w:bidi="ar"/>
        </w:rPr>
      </w:pPr>
      <w:r>
        <w:rPr>
          <w:rFonts w:hint="eastAsia"/>
          <w:color w:val="auto"/>
          <w:lang w:bidi="ar"/>
        </w:rPr>
        <w:t>项目业主：甘孜州暄和热力有限公司</w:t>
      </w:r>
    </w:p>
    <w:p w14:paraId="5CB9D2AF">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2</w:t>
      </w:r>
      <w:r>
        <w:rPr>
          <w:rFonts w:ascii="仿宋" w:hAnsi="仿宋" w:eastAsia="仿宋"/>
          <w:b/>
          <w:color w:val="auto"/>
          <w:sz w:val="32"/>
          <w:szCs w:val="32"/>
        </w:rPr>
        <w:t>.</w:t>
      </w:r>
      <w:r>
        <w:rPr>
          <w:rFonts w:hint="eastAsia" w:ascii="仿宋" w:hAnsi="仿宋" w:eastAsia="仿宋"/>
          <w:b/>
          <w:color w:val="auto"/>
          <w:sz w:val="32"/>
          <w:szCs w:val="32"/>
        </w:rPr>
        <w:t>项目概况</w:t>
      </w:r>
    </w:p>
    <w:p w14:paraId="5CB9D2B0">
      <w:pPr>
        <w:ind w:firstLine="480"/>
        <w:rPr>
          <w:rFonts w:hint="eastAsia"/>
          <w:bCs/>
          <w:color w:val="auto"/>
          <w:kern w:val="0"/>
        </w:rPr>
      </w:pPr>
      <w:r>
        <w:rPr>
          <w:rFonts w:hint="eastAsia"/>
          <w:bCs/>
          <w:color w:val="auto"/>
          <w:kern w:val="0"/>
        </w:rPr>
        <w:t>本项目是交通基础设施建设项目，项目总投资估算为</w:t>
      </w:r>
      <w:r>
        <w:rPr>
          <w:bCs/>
          <w:color w:val="auto"/>
          <w:kern w:val="0"/>
        </w:rPr>
        <w:t>29400.00万元。项目位于</w:t>
      </w:r>
      <w:r>
        <w:rPr>
          <w:rFonts w:hint="eastAsia"/>
          <w:bCs/>
          <w:color w:val="auto"/>
          <w:kern w:val="0"/>
        </w:rPr>
        <w:t>白玉县隶属四川省甘孜藏族自治州，地处青藏高原向云贵高原的过渡地带，属横断山脉北段，金沙江上游东岸。</w:t>
      </w:r>
      <w:r>
        <w:rPr>
          <w:bCs/>
          <w:color w:val="auto"/>
          <w:kern w:val="0"/>
        </w:rPr>
        <w:t>，</w:t>
      </w:r>
      <w:r>
        <w:rPr>
          <w:rFonts w:hint="eastAsia"/>
          <w:bCs/>
          <w:color w:val="auto"/>
          <w:kern w:val="0"/>
        </w:rPr>
        <w:t>白玉县城镇集中供暖工程，为26个片区78栋建筑供暖，总供暖建筑面积22.62万平方米，其中居住面积约为5.24万平米，公共建筑面积约为17.38万平米，涉及学校、医疗、养老、政府机构等。建设内容包括室内外电气、室外热源及管网、室内末端、配套建筑及其他附属设施。</w:t>
      </w:r>
      <w:r>
        <w:rPr>
          <w:bCs/>
          <w:color w:val="auto"/>
          <w:kern w:val="0"/>
        </w:rPr>
        <w:t>该项目符合控制性详细规划，已取可行性研究报告的批复、建设项目用地预审与选址意见书、</w:t>
      </w:r>
      <w:r>
        <w:rPr>
          <w:rFonts w:hint="eastAsia"/>
          <w:bCs/>
          <w:color w:val="auto"/>
          <w:kern w:val="0"/>
        </w:rPr>
        <w:t>关于白玉县城镇集中供暖工程变更项目业主的批复、关于白玉县供暖工程项目用地预审的情况说明、关于白玉供暖工程项目环评的函、中标通知书、开工报审表、招标文件、供暖收费标、建筑工程施工许可证、开工报审表、开工令</w:t>
      </w:r>
      <w:r>
        <w:rPr>
          <w:bCs/>
          <w:color w:val="auto"/>
          <w:kern w:val="0"/>
        </w:rPr>
        <w:t>等合法合规性文件。</w:t>
      </w:r>
    </w:p>
    <w:p w14:paraId="5CB9D2B1">
      <w:pPr>
        <w:pStyle w:val="2"/>
        <w:ind w:firstLine="210"/>
        <w:rPr>
          <w:rFonts w:ascii="仿宋" w:hAnsi="仿宋" w:eastAsia="仿宋"/>
          <w:color w:val="auto"/>
        </w:rPr>
      </w:pPr>
    </w:p>
    <w:p w14:paraId="5CB9D2B2">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二、经济社会效益分析</w:t>
      </w:r>
    </w:p>
    <w:p w14:paraId="5CB9D2B3">
      <w:pPr>
        <w:ind w:firstLine="480"/>
        <w:rPr>
          <w:rFonts w:hint="eastAsia"/>
          <w:bCs/>
          <w:color w:val="auto"/>
          <w:kern w:val="0"/>
        </w:rPr>
      </w:pPr>
      <w:bookmarkStart w:id="0" w:name="OLE_LINK52"/>
      <w:r>
        <w:rPr>
          <w:rFonts w:hint="eastAsia"/>
          <w:bCs/>
          <w:color w:val="auto"/>
          <w:kern w:val="0"/>
        </w:rPr>
        <w:t>在经济效益方面，白玉县城镇集中供暖工程总投资估算为</w:t>
      </w:r>
      <w:r>
        <w:rPr>
          <w:bCs/>
          <w:color w:val="auto"/>
          <w:kern w:val="0"/>
        </w:rPr>
        <w:t>29400.00万元。项目建成以后可获得供暖收入，可实现项目收入总计为74743.14万元，待本项目全部14000.00万元专项债到期时，在偿还到期的债券本息后，将仍有19827.89万元的累计现金结余。其中：项目债券本息覆盖倍数为1.68倍。预期实现的运营净收入能够合理保障偿还融资本金和利息,能够实现项目收益和融资自求平衡。本项目的完成会</w:t>
      </w:r>
      <w:r>
        <w:rPr>
          <w:rFonts w:hint="eastAsia"/>
          <w:bCs/>
          <w:color w:val="auto"/>
          <w:kern w:val="0"/>
        </w:rPr>
        <w:t>合理促进的招商引资，通过本项目的建设，从而改变经济结构和财政来源，可以从经济上解决加强各项社会事业的投入，完善社会保障制度，加快城市建设等事业的发展。本工程实施后将改善广大群众目前的生活环境，促进当地经济的发展，同时也为各族人民群众的生活带来更大的便利，必将推动社会经济的发展。</w:t>
      </w:r>
    </w:p>
    <w:p w14:paraId="5CB9D2B4">
      <w:pPr>
        <w:ind w:firstLine="480"/>
        <w:rPr>
          <w:rFonts w:hint="eastAsia"/>
          <w:bCs/>
          <w:color w:val="auto"/>
          <w:kern w:val="0"/>
        </w:rPr>
      </w:pPr>
      <w:r>
        <w:rPr>
          <w:rFonts w:hint="eastAsia"/>
          <w:bCs/>
          <w:color w:val="auto"/>
          <w:kern w:val="0"/>
        </w:rPr>
        <w:t>在社会效益方面，项目的建设直接改善区域内的基础设施条件，带动城市建设，完善城市功能。该项目将极大提高生活质量和舒适性，是落到实处的民生工程，有效的达到“富民安康”的目的。本项目将</w:t>
      </w:r>
      <w:r>
        <w:rPr>
          <w:color w:val="auto"/>
        </w:rPr>
        <w:t>改善能源利用效率，提高大气环境质量</w:t>
      </w:r>
      <w:r>
        <w:rPr>
          <w:rFonts w:hint="eastAsia"/>
          <w:color w:val="auto"/>
        </w:rPr>
        <w:t>，</w:t>
      </w:r>
      <w:r>
        <w:rPr>
          <w:rFonts w:hint="eastAsia"/>
          <w:bCs/>
          <w:color w:val="auto"/>
          <w:kern w:val="0"/>
        </w:rPr>
        <w:t>大大改善城市环境，加快了城市化进程。</w:t>
      </w:r>
    </w:p>
    <w:p w14:paraId="5CB9D2B5">
      <w:pPr>
        <w:pStyle w:val="2"/>
        <w:ind w:firstLine="210"/>
        <w:rPr>
          <w:rFonts w:ascii="仿宋" w:hAnsi="仿宋" w:eastAsia="仿宋"/>
          <w:color w:val="auto"/>
        </w:rPr>
      </w:pPr>
    </w:p>
    <w:bookmarkEnd w:id="0"/>
    <w:p w14:paraId="5CB9D2B6">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三、项目投资估算及资金筹措方案</w:t>
      </w:r>
    </w:p>
    <w:p w14:paraId="5CB9D2B7">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（一）投资估算</w:t>
      </w:r>
    </w:p>
    <w:p w14:paraId="5CB9D2B8">
      <w:pPr>
        <w:ind w:firstLine="480"/>
        <w:rPr>
          <w:rFonts w:hint="eastAsia"/>
          <w:color w:val="auto"/>
        </w:rPr>
      </w:pPr>
      <w:r>
        <w:rPr>
          <w:rFonts w:hint="eastAsia"/>
          <w:color w:val="auto"/>
        </w:rPr>
        <w:t>项目总投资估算为</w:t>
      </w:r>
      <w:r>
        <w:rPr>
          <w:color w:val="auto"/>
        </w:rPr>
        <w:t>29400.00万元，其中工程费用为</w:t>
      </w:r>
      <w:r>
        <w:rPr>
          <w:rFonts w:hint="eastAsia"/>
          <w:color w:val="auto"/>
        </w:rPr>
        <w:t>24067.67</w:t>
      </w:r>
      <w:r>
        <w:rPr>
          <w:color w:val="auto"/>
        </w:rPr>
        <w:t>万元，工程建设其他费用为</w:t>
      </w:r>
      <w:r>
        <w:rPr>
          <w:rFonts w:hint="eastAsia"/>
          <w:color w:val="auto"/>
        </w:rPr>
        <w:t>2406.22</w:t>
      </w:r>
      <w:r>
        <w:rPr>
          <w:color w:val="auto"/>
        </w:rPr>
        <w:t>万元，基本预备费</w:t>
      </w:r>
      <w:r>
        <w:rPr>
          <w:rFonts w:hint="eastAsia"/>
          <w:color w:val="auto"/>
        </w:rPr>
        <w:t>2293.31</w:t>
      </w:r>
      <w:r>
        <w:rPr>
          <w:color w:val="auto"/>
        </w:rPr>
        <w:t>万元，建设期融资利息</w:t>
      </w:r>
      <w:r>
        <w:rPr>
          <w:rFonts w:hint="eastAsia"/>
          <w:color w:val="auto"/>
        </w:rPr>
        <w:t>618.80</w:t>
      </w:r>
      <w:r>
        <w:rPr>
          <w:color w:val="auto"/>
        </w:rPr>
        <w:t>万元，债券发行费为</w:t>
      </w:r>
      <w:r>
        <w:rPr>
          <w:rFonts w:hint="eastAsia"/>
          <w:color w:val="auto"/>
        </w:rPr>
        <w:t>14.00</w:t>
      </w:r>
      <w:r>
        <w:rPr>
          <w:color w:val="auto"/>
        </w:rPr>
        <w:t>万元。</w:t>
      </w:r>
    </w:p>
    <w:p w14:paraId="5CB9D2B9">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（二）资金筹措方案</w:t>
      </w:r>
    </w:p>
    <w:p w14:paraId="5CB9D2BA">
      <w:pPr>
        <w:spacing w:line="560" w:lineRule="exact"/>
        <w:ind w:firstLine="643"/>
        <w:rPr>
          <w:rFonts w:ascii="仿宋" w:hAnsi="仿宋" w:eastAsia="仿宋"/>
          <w:b/>
          <w:color w:val="auto"/>
          <w:sz w:val="32"/>
          <w:szCs w:val="32"/>
        </w:rPr>
      </w:pPr>
      <w:r>
        <w:rPr>
          <w:rFonts w:ascii="仿宋" w:hAnsi="仿宋" w:eastAsia="仿宋"/>
          <w:b/>
          <w:color w:val="auto"/>
          <w:sz w:val="32"/>
          <w:szCs w:val="32"/>
        </w:rPr>
        <w:t>1.</w:t>
      </w:r>
      <w:r>
        <w:rPr>
          <w:rFonts w:hint="eastAsia" w:ascii="仿宋" w:hAnsi="仿宋" w:eastAsia="仿宋"/>
          <w:b/>
          <w:color w:val="auto"/>
          <w:sz w:val="32"/>
          <w:szCs w:val="32"/>
        </w:rPr>
        <w:t>资金筹集情况</w:t>
      </w:r>
    </w:p>
    <w:p w14:paraId="5CB9D2BB">
      <w:pPr>
        <w:ind w:firstLine="480"/>
        <w:rPr>
          <w:rFonts w:hint="eastAsia"/>
          <w:color w:val="auto"/>
        </w:rPr>
      </w:pPr>
      <w:r>
        <w:rPr>
          <w:rFonts w:hint="eastAsia"/>
          <w:color w:val="auto"/>
        </w:rPr>
        <w:t>该项目总投资估算为</w:t>
      </w:r>
      <w:r>
        <w:rPr>
          <w:color w:val="auto"/>
        </w:rPr>
        <w:t>29400.00万元，资金来源于</w:t>
      </w:r>
      <w:r>
        <w:rPr>
          <w:rFonts w:hint="eastAsia"/>
          <w:color w:val="auto"/>
        </w:rPr>
        <w:t>业主自筹</w:t>
      </w:r>
      <w:r>
        <w:rPr>
          <w:color w:val="auto"/>
        </w:rPr>
        <w:t>和专项债券资金。其中项目资本金</w:t>
      </w:r>
      <w:r>
        <w:rPr>
          <w:rFonts w:hint="eastAsia"/>
          <w:color w:val="auto"/>
        </w:rPr>
        <w:t>15400.00</w:t>
      </w:r>
      <w:r>
        <w:rPr>
          <w:color w:val="auto"/>
        </w:rPr>
        <w:t>万元，占总投资的</w:t>
      </w:r>
      <w:r>
        <w:rPr>
          <w:rFonts w:hint="eastAsia"/>
          <w:color w:val="auto"/>
        </w:rPr>
        <w:t>52.38%</w:t>
      </w:r>
      <w:r>
        <w:rPr>
          <w:color w:val="auto"/>
        </w:rPr>
        <w:t>，由</w:t>
      </w:r>
      <w:r>
        <w:rPr>
          <w:rFonts w:hint="eastAsia"/>
          <w:color w:val="auto"/>
        </w:rPr>
        <w:t>业主自筹</w:t>
      </w:r>
      <w:r>
        <w:rPr>
          <w:color w:val="auto"/>
        </w:rPr>
        <w:t>构成；剩余资金缺口拟通过发行</w:t>
      </w:r>
      <w:r>
        <w:rPr>
          <w:rFonts w:hint="eastAsia"/>
          <w:color w:val="auto"/>
        </w:rPr>
        <w:t>14000.00</w:t>
      </w:r>
      <w:r>
        <w:rPr>
          <w:color w:val="auto"/>
        </w:rPr>
        <w:t>万元专项债券融资，占总投资的</w:t>
      </w:r>
      <w:r>
        <w:rPr>
          <w:rFonts w:hint="eastAsia" w:cs="仿宋"/>
          <w:color w:val="auto"/>
          <w:lang w:val="zh-CN"/>
        </w:rPr>
        <w:t>47.62%</w:t>
      </w:r>
      <w:r>
        <w:rPr>
          <w:color w:val="auto"/>
        </w:rPr>
        <w:t>，融资利率3.4%，期限</w:t>
      </w:r>
      <w:r>
        <w:rPr>
          <w:rFonts w:hint="eastAsia"/>
          <w:color w:val="auto"/>
        </w:rPr>
        <w:t>30</w:t>
      </w:r>
      <w:r>
        <w:rPr>
          <w:color w:val="auto"/>
        </w:rPr>
        <w:t>年。</w:t>
      </w:r>
    </w:p>
    <w:p w14:paraId="5CB9D2BC">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2.资金使用计划</w:t>
      </w:r>
    </w:p>
    <w:p w14:paraId="5CB9D2BD">
      <w:pPr>
        <w:ind w:firstLine="480"/>
        <w:rPr>
          <w:rFonts w:hint="eastAsia"/>
          <w:color w:val="auto"/>
        </w:rPr>
      </w:pPr>
      <w:r>
        <w:rPr>
          <w:rFonts w:hint="eastAsia"/>
          <w:color w:val="auto"/>
        </w:rPr>
        <w:t>根据项目建设进度及建设内容和业主的资金安排，项目建设资金将在前4年投入，建设计划、资金使用与投资计划相匹配。本项目</w:t>
      </w:r>
      <w:r>
        <w:rPr>
          <w:rFonts w:hint="eastAsia"/>
          <w:color w:val="auto"/>
          <w:lang w:bidi="ar"/>
        </w:rPr>
        <w:t>施工划分为2个阶段，耗时32个月</w:t>
      </w:r>
      <w:r>
        <w:rPr>
          <w:rFonts w:hint="eastAsia"/>
          <w:color w:val="auto"/>
        </w:rPr>
        <w:t>（含前期工作时间）。按照建设进度，建设期第1年（含以前年度）计划投资1000.00万元，第2年计划投资1000.00万元.第3年计划投资6568.07万元，第4年计划投资20199.13万元。</w:t>
      </w:r>
    </w:p>
    <w:p w14:paraId="5CB9D2BE">
      <w:pPr>
        <w:pStyle w:val="45"/>
        <w:rPr>
          <w:rFonts w:hint="eastAsia"/>
          <w:color w:val="auto"/>
        </w:rPr>
      </w:pPr>
      <w:r>
        <w:rPr>
          <w:rFonts w:hint="eastAsia"/>
          <w:color w:val="auto"/>
          <w:lang w:bidi="ar"/>
        </w:rPr>
        <w:t>资金使用计划表（</w:t>
      </w:r>
      <w:r>
        <w:rPr>
          <w:rFonts w:hint="eastAsia"/>
          <w:color w:val="auto"/>
        </w:rPr>
        <w:t>金额单位：</w:t>
      </w:r>
      <w:r>
        <w:rPr>
          <w:rFonts w:hint="eastAsia"/>
          <w:color w:val="auto"/>
          <w:lang w:val="zh-CN"/>
        </w:rPr>
        <w:t>人民币</w:t>
      </w:r>
      <w:r>
        <w:rPr>
          <w:rFonts w:hint="eastAsia"/>
          <w:color w:val="auto"/>
        </w:rPr>
        <w:t>万元）</w:t>
      </w:r>
    </w:p>
    <w:tbl>
      <w:tblPr>
        <w:tblStyle w:val="26"/>
        <w:tblW w:w="10140" w:type="dxa"/>
        <w:jc w:val="center"/>
        <w:tblLayout w:type="autofit"/>
        <w:tblCellMar>
          <w:top w:w="0" w:type="dxa"/>
          <w:left w:w="108" w:type="dxa"/>
          <w:bottom w:w="0" w:type="dxa"/>
          <w:right w:w="108" w:type="dxa"/>
        </w:tblCellMar>
      </w:tblPr>
      <w:tblGrid>
        <w:gridCol w:w="1360"/>
        <w:gridCol w:w="2080"/>
        <w:gridCol w:w="1180"/>
        <w:gridCol w:w="1073"/>
        <w:gridCol w:w="1072"/>
        <w:gridCol w:w="1072"/>
        <w:gridCol w:w="1223"/>
        <w:gridCol w:w="1080"/>
      </w:tblGrid>
      <w:tr w14:paraId="2F7562B1">
        <w:tblPrEx>
          <w:tblCellMar>
            <w:top w:w="0" w:type="dxa"/>
            <w:left w:w="108" w:type="dxa"/>
            <w:bottom w:w="0" w:type="dxa"/>
            <w:right w:w="108" w:type="dxa"/>
          </w:tblCellMar>
        </w:tblPrEx>
        <w:trPr>
          <w:trHeight w:val="561" w:hRule="atLeast"/>
          <w:jc w:val="center"/>
        </w:trPr>
        <w:tc>
          <w:tcPr>
            <w:tcW w:w="13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7BAAFCD">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序号</w:t>
            </w:r>
          </w:p>
        </w:tc>
        <w:tc>
          <w:tcPr>
            <w:tcW w:w="2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F724A4">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项目名称</w:t>
            </w:r>
          </w:p>
        </w:tc>
        <w:tc>
          <w:tcPr>
            <w:tcW w:w="11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74560E7">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合计</w:t>
            </w:r>
          </w:p>
        </w:tc>
        <w:tc>
          <w:tcPr>
            <w:tcW w:w="4440" w:type="dxa"/>
            <w:gridSpan w:val="4"/>
            <w:tcBorders>
              <w:top w:val="single" w:color="auto" w:sz="4" w:space="0"/>
              <w:left w:val="nil"/>
              <w:bottom w:val="single" w:color="auto" w:sz="4" w:space="0"/>
              <w:right w:val="nil"/>
            </w:tcBorders>
            <w:shd w:val="clear" w:color="auto" w:fill="auto"/>
            <w:noWrap/>
            <w:vAlign w:val="center"/>
          </w:tcPr>
          <w:p w14:paraId="5BA32FAB">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资金来源及分年使用计划</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E68A457">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比例</w:t>
            </w:r>
          </w:p>
        </w:tc>
      </w:tr>
      <w:tr w14:paraId="65F9F785">
        <w:tblPrEx>
          <w:tblCellMar>
            <w:top w:w="0" w:type="dxa"/>
            <w:left w:w="108" w:type="dxa"/>
            <w:bottom w:w="0" w:type="dxa"/>
            <w:right w:w="108" w:type="dxa"/>
          </w:tblCellMar>
        </w:tblPrEx>
        <w:trPr>
          <w:trHeight w:val="561" w:hRule="atLeast"/>
          <w:jc w:val="center"/>
        </w:trPr>
        <w:tc>
          <w:tcPr>
            <w:tcW w:w="1360" w:type="dxa"/>
            <w:vMerge w:val="continue"/>
            <w:tcBorders>
              <w:top w:val="single" w:color="auto" w:sz="4" w:space="0"/>
              <w:left w:val="single" w:color="auto" w:sz="4" w:space="0"/>
              <w:bottom w:val="single" w:color="auto" w:sz="4" w:space="0"/>
              <w:right w:val="single" w:color="auto" w:sz="4" w:space="0"/>
            </w:tcBorders>
            <w:vAlign w:val="center"/>
          </w:tcPr>
          <w:p w14:paraId="4557E5E9">
            <w:pPr>
              <w:widowControl/>
              <w:spacing w:line="240" w:lineRule="auto"/>
              <w:ind w:firstLine="0" w:firstLineChars="0"/>
              <w:jc w:val="left"/>
              <w:rPr>
                <w:rFonts w:hint="eastAsia" w:cs="宋体"/>
                <w:b/>
                <w:bCs/>
                <w:color w:val="auto"/>
                <w:kern w:val="0"/>
                <w:sz w:val="20"/>
                <w:szCs w:val="20"/>
              </w:rPr>
            </w:pPr>
          </w:p>
        </w:tc>
        <w:tc>
          <w:tcPr>
            <w:tcW w:w="2080" w:type="dxa"/>
            <w:vMerge w:val="continue"/>
            <w:tcBorders>
              <w:top w:val="single" w:color="auto" w:sz="4" w:space="0"/>
              <w:left w:val="single" w:color="auto" w:sz="4" w:space="0"/>
              <w:bottom w:val="single" w:color="auto" w:sz="4" w:space="0"/>
              <w:right w:val="single" w:color="auto" w:sz="4" w:space="0"/>
            </w:tcBorders>
            <w:vAlign w:val="center"/>
          </w:tcPr>
          <w:p w14:paraId="581BEBAB">
            <w:pPr>
              <w:widowControl/>
              <w:spacing w:line="240" w:lineRule="auto"/>
              <w:ind w:firstLine="0" w:firstLineChars="0"/>
              <w:jc w:val="left"/>
              <w:rPr>
                <w:rFonts w:hint="eastAsia" w:cs="宋体"/>
                <w:b/>
                <w:bCs/>
                <w:color w:val="auto"/>
                <w:kern w:val="0"/>
                <w:sz w:val="20"/>
                <w:szCs w:val="20"/>
              </w:rPr>
            </w:pPr>
          </w:p>
        </w:tc>
        <w:tc>
          <w:tcPr>
            <w:tcW w:w="1180" w:type="dxa"/>
            <w:vMerge w:val="continue"/>
            <w:tcBorders>
              <w:top w:val="single" w:color="auto" w:sz="4" w:space="0"/>
              <w:left w:val="single" w:color="auto" w:sz="4" w:space="0"/>
              <w:bottom w:val="single" w:color="auto" w:sz="4" w:space="0"/>
              <w:right w:val="single" w:color="auto" w:sz="4" w:space="0"/>
            </w:tcBorders>
            <w:vAlign w:val="center"/>
          </w:tcPr>
          <w:p w14:paraId="422CD8A9">
            <w:pPr>
              <w:widowControl/>
              <w:spacing w:line="240" w:lineRule="auto"/>
              <w:ind w:firstLine="0" w:firstLineChars="0"/>
              <w:jc w:val="left"/>
              <w:rPr>
                <w:rFonts w:hint="eastAsia" w:cs="宋体"/>
                <w:b/>
                <w:bCs/>
                <w:color w:val="auto"/>
                <w:kern w:val="0"/>
                <w:sz w:val="20"/>
                <w:szCs w:val="20"/>
              </w:rPr>
            </w:pPr>
          </w:p>
        </w:tc>
        <w:tc>
          <w:tcPr>
            <w:tcW w:w="1073" w:type="dxa"/>
            <w:tcBorders>
              <w:top w:val="nil"/>
              <w:left w:val="nil"/>
              <w:bottom w:val="single" w:color="auto" w:sz="4" w:space="0"/>
              <w:right w:val="single" w:color="auto" w:sz="4" w:space="0"/>
            </w:tcBorders>
            <w:shd w:val="clear" w:color="auto" w:fill="auto"/>
            <w:noWrap/>
            <w:vAlign w:val="center"/>
          </w:tcPr>
          <w:p w14:paraId="4D80A78E">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第一年</w:t>
            </w:r>
          </w:p>
        </w:tc>
        <w:tc>
          <w:tcPr>
            <w:tcW w:w="1072" w:type="dxa"/>
            <w:tcBorders>
              <w:top w:val="nil"/>
              <w:left w:val="nil"/>
              <w:bottom w:val="single" w:color="auto" w:sz="4" w:space="0"/>
              <w:right w:val="single" w:color="auto" w:sz="4" w:space="0"/>
            </w:tcBorders>
            <w:shd w:val="clear" w:color="auto" w:fill="auto"/>
            <w:noWrap/>
            <w:vAlign w:val="center"/>
          </w:tcPr>
          <w:p w14:paraId="5BA8DC75">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第二年</w:t>
            </w:r>
          </w:p>
        </w:tc>
        <w:tc>
          <w:tcPr>
            <w:tcW w:w="1072" w:type="dxa"/>
            <w:tcBorders>
              <w:top w:val="nil"/>
              <w:left w:val="nil"/>
              <w:bottom w:val="single" w:color="auto" w:sz="4" w:space="0"/>
              <w:right w:val="single" w:color="auto" w:sz="4" w:space="0"/>
            </w:tcBorders>
            <w:shd w:val="clear" w:color="auto" w:fill="auto"/>
            <w:noWrap/>
            <w:vAlign w:val="center"/>
          </w:tcPr>
          <w:p w14:paraId="781E6797">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第三年</w:t>
            </w:r>
          </w:p>
        </w:tc>
        <w:tc>
          <w:tcPr>
            <w:tcW w:w="1223" w:type="dxa"/>
            <w:tcBorders>
              <w:top w:val="nil"/>
              <w:left w:val="nil"/>
              <w:bottom w:val="single" w:color="auto" w:sz="4" w:space="0"/>
              <w:right w:val="single" w:color="auto" w:sz="4" w:space="0"/>
            </w:tcBorders>
            <w:shd w:val="clear" w:color="auto" w:fill="auto"/>
            <w:noWrap/>
            <w:vAlign w:val="center"/>
          </w:tcPr>
          <w:p w14:paraId="41790C0F">
            <w:pPr>
              <w:widowControl/>
              <w:spacing w:line="240" w:lineRule="auto"/>
              <w:ind w:firstLine="0" w:firstLineChars="0"/>
              <w:jc w:val="center"/>
              <w:rPr>
                <w:rFonts w:hint="eastAsia" w:cs="宋体"/>
                <w:b/>
                <w:bCs/>
                <w:color w:val="auto"/>
                <w:kern w:val="0"/>
                <w:sz w:val="20"/>
                <w:szCs w:val="20"/>
              </w:rPr>
            </w:pPr>
            <w:r>
              <w:rPr>
                <w:rFonts w:hint="eastAsia" w:cs="宋体"/>
                <w:b/>
                <w:bCs/>
                <w:color w:val="auto"/>
                <w:kern w:val="0"/>
                <w:sz w:val="20"/>
                <w:szCs w:val="20"/>
              </w:rPr>
              <w:t>第四年</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14:paraId="5BD06D32">
            <w:pPr>
              <w:widowControl/>
              <w:spacing w:line="240" w:lineRule="auto"/>
              <w:ind w:firstLine="0" w:firstLineChars="0"/>
              <w:jc w:val="left"/>
              <w:rPr>
                <w:rFonts w:hint="eastAsia" w:cs="宋体"/>
                <w:b/>
                <w:bCs/>
                <w:color w:val="auto"/>
                <w:kern w:val="0"/>
                <w:sz w:val="20"/>
                <w:szCs w:val="20"/>
              </w:rPr>
            </w:pPr>
          </w:p>
        </w:tc>
      </w:tr>
      <w:tr w14:paraId="64BF1786">
        <w:tblPrEx>
          <w:tblCellMar>
            <w:top w:w="0" w:type="dxa"/>
            <w:left w:w="108" w:type="dxa"/>
            <w:bottom w:w="0" w:type="dxa"/>
            <w:right w:w="108" w:type="dxa"/>
          </w:tblCellMar>
        </w:tblPrEx>
        <w:trPr>
          <w:trHeight w:val="561" w:hRule="atLeast"/>
          <w:jc w:val="center"/>
        </w:trPr>
        <w:tc>
          <w:tcPr>
            <w:tcW w:w="1360" w:type="dxa"/>
            <w:vMerge w:val="restart"/>
            <w:tcBorders>
              <w:top w:val="nil"/>
              <w:left w:val="single" w:color="auto" w:sz="4" w:space="0"/>
              <w:bottom w:val="single" w:color="auto" w:sz="4" w:space="0"/>
              <w:right w:val="single" w:color="auto" w:sz="4" w:space="0"/>
            </w:tcBorders>
            <w:shd w:val="clear" w:color="auto" w:fill="auto"/>
            <w:noWrap/>
            <w:vAlign w:val="center"/>
          </w:tcPr>
          <w:p w14:paraId="419999C9">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项目投资</w:t>
            </w:r>
          </w:p>
        </w:tc>
        <w:tc>
          <w:tcPr>
            <w:tcW w:w="2080" w:type="dxa"/>
            <w:tcBorders>
              <w:top w:val="nil"/>
              <w:left w:val="nil"/>
              <w:bottom w:val="single" w:color="auto" w:sz="4" w:space="0"/>
              <w:right w:val="single" w:color="auto" w:sz="4" w:space="0"/>
            </w:tcBorders>
            <w:shd w:val="clear" w:color="auto" w:fill="auto"/>
            <w:vAlign w:val="center"/>
          </w:tcPr>
          <w:p w14:paraId="3CAD8026">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项目建设总投资</w:t>
            </w:r>
          </w:p>
        </w:tc>
        <w:tc>
          <w:tcPr>
            <w:tcW w:w="1180" w:type="dxa"/>
            <w:tcBorders>
              <w:top w:val="nil"/>
              <w:left w:val="nil"/>
              <w:bottom w:val="single" w:color="auto" w:sz="4" w:space="0"/>
              <w:right w:val="single" w:color="auto" w:sz="4" w:space="0"/>
            </w:tcBorders>
            <w:shd w:val="clear" w:color="auto" w:fill="auto"/>
            <w:noWrap/>
            <w:vAlign w:val="center"/>
          </w:tcPr>
          <w:p w14:paraId="6719FA4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28767.20 </w:t>
            </w:r>
          </w:p>
        </w:tc>
        <w:tc>
          <w:tcPr>
            <w:tcW w:w="1073" w:type="dxa"/>
            <w:tcBorders>
              <w:top w:val="nil"/>
              <w:left w:val="nil"/>
              <w:bottom w:val="single" w:color="auto" w:sz="4" w:space="0"/>
              <w:right w:val="single" w:color="auto" w:sz="4" w:space="0"/>
            </w:tcBorders>
            <w:shd w:val="clear" w:color="auto" w:fill="auto"/>
            <w:noWrap/>
            <w:vAlign w:val="center"/>
          </w:tcPr>
          <w:p w14:paraId="6AA2A89D">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7D2B8BCA">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0A9EAEC9">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6568.07 </w:t>
            </w:r>
          </w:p>
        </w:tc>
        <w:tc>
          <w:tcPr>
            <w:tcW w:w="1223" w:type="dxa"/>
            <w:tcBorders>
              <w:top w:val="nil"/>
              <w:left w:val="nil"/>
              <w:bottom w:val="single" w:color="auto" w:sz="4" w:space="0"/>
              <w:right w:val="single" w:color="auto" w:sz="4" w:space="0"/>
            </w:tcBorders>
            <w:shd w:val="clear" w:color="auto" w:fill="auto"/>
            <w:noWrap/>
            <w:vAlign w:val="center"/>
          </w:tcPr>
          <w:p w14:paraId="04A405CD">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20199.13 </w:t>
            </w:r>
          </w:p>
        </w:tc>
        <w:tc>
          <w:tcPr>
            <w:tcW w:w="1080" w:type="dxa"/>
            <w:tcBorders>
              <w:top w:val="nil"/>
              <w:left w:val="nil"/>
              <w:bottom w:val="single" w:color="auto" w:sz="4" w:space="0"/>
              <w:right w:val="single" w:color="auto" w:sz="4" w:space="0"/>
            </w:tcBorders>
            <w:shd w:val="clear" w:color="auto" w:fill="auto"/>
            <w:noWrap/>
            <w:vAlign w:val="center"/>
          </w:tcPr>
          <w:p w14:paraId="237F4677">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97.85%</w:t>
            </w:r>
          </w:p>
        </w:tc>
      </w:tr>
      <w:tr w14:paraId="110FF2A8">
        <w:tblPrEx>
          <w:tblCellMar>
            <w:top w:w="0" w:type="dxa"/>
            <w:left w:w="108" w:type="dxa"/>
            <w:bottom w:w="0" w:type="dxa"/>
            <w:right w:w="108" w:type="dxa"/>
          </w:tblCellMar>
        </w:tblPrEx>
        <w:trPr>
          <w:trHeight w:val="561" w:hRule="atLeast"/>
          <w:jc w:val="center"/>
        </w:trPr>
        <w:tc>
          <w:tcPr>
            <w:tcW w:w="1360" w:type="dxa"/>
            <w:vMerge w:val="continue"/>
            <w:tcBorders>
              <w:top w:val="nil"/>
              <w:left w:val="single" w:color="auto" w:sz="4" w:space="0"/>
              <w:bottom w:val="single" w:color="auto" w:sz="4" w:space="0"/>
              <w:right w:val="single" w:color="auto" w:sz="4" w:space="0"/>
            </w:tcBorders>
            <w:vAlign w:val="center"/>
          </w:tcPr>
          <w:p w14:paraId="11F656C9">
            <w:pPr>
              <w:widowControl/>
              <w:spacing w:line="240" w:lineRule="auto"/>
              <w:ind w:firstLine="0" w:firstLineChars="0"/>
              <w:jc w:val="left"/>
              <w:rPr>
                <w:rFonts w:hint="eastAsia" w:cs="宋体"/>
                <w:color w:val="auto"/>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14:paraId="326C0E19">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项目建设期发债利息</w:t>
            </w:r>
          </w:p>
        </w:tc>
        <w:tc>
          <w:tcPr>
            <w:tcW w:w="1180" w:type="dxa"/>
            <w:tcBorders>
              <w:top w:val="nil"/>
              <w:left w:val="nil"/>
              <w:bottom w:val="single" w:color="auto" w:sz="4" w:space="0"/>
              <w:right w:val="single" w:color="auto" w:sz="4" w:space="0"/>
            </w:tcBorders>
            <w:shd w:val="clear" w:color="auto" w:fill="auto"/>
            <w:noWrap/>
            <w:vAlign w:val="center"/>
          </w:tcPr>
          <w:p w14:paraId="7665ADF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618.80 </w:t>
            </w:r>
          </w:p>
        </w:tc>
        <w:tc>
          <w:tcPr>
            <w:tcW w:w="1073" w:type="dxa"/>
            <w:tcBorders>
              <w:top w:val="nil"/>
              <w:left w:val="nil"/>
              <w:bottom w:val="single" w:color="auto" w:sz="4" w:space="0"/>
              <w:right w:val="single" w:color="auto" w:sz="4" w:space="0"/>
            </w:tcBorders>
            <w:shd w:val="clear" w:color="auto" w:fill="auto"/>
            <w:noWrap/>
            <w:vAlign w:val="center"/>
          </w:tcPr>
          <w:p w14:paraId="35CF0717">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0.00 </w:t>
            </w:r>
          </w:p>
        </w:tc>
        <w:tc>
          <w:tcPr>
            <w:tcW w:w="1072" w:type="dxa"/>
            <w:tcBorders>
              <w:top w:val="nil"/>
              <w:left w:val="nil"/>
              <w:bottom w:val="single" w:color="auto" w:sz="4" w:space="0"/>
              <w:right w:val="single" w:color="auto" w:sz="4" w:space="0"/>
            </w:tcBorders>
            <w:shd w:val="clear" w:color="auto" w:fill="auto"/>
            <w:noWrap/>
            <w:vAlign w:val="center"/>
          </w:tcPr>
          <w:p w14:paraId="624FBFAA">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0.00 </w:t>
            </w:r>
          </w:p>
        </w:tc>
        <w:tc>
          <w:tcPr>
            <w:tcW w:w="1072" w:type="dxa"/>
            <w:tcBorders>
              <w:top w:val="nil"/>
              <w:left w:val="nil"/>
              <w:bottom w:val="single" w:color="auto" w:sz="4" w:space="0"/>
              <w:right w:val="single" w:color="auto" w:sz="4" w:space="0"/>
            </w:tcBorders>
            <w:shd w:val="clear" w:color="auto" w:fill="auto"/>
            <w:noWrap/>
            <w:vAlign w:val="center"/>
          </w:tcPr>
          <w:p w14:paraId="2878D37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142.80 </w:t>
            </w:r>
          </w:p>
        </w:tc>
        <w:tc>
          <w:tcPr>
            <w:tcW w:w="1223" w:type="dxa"/>
            <w:tcBorders>
              <w:top w:val="nil"/>
              <w:left w:val="nil"/>
              <w:bottom w:val="single" w:color="auto" w:sz="4" w:space="0"/>
              <w:right w:val="single" w:color="auto" w:sz="4" w:space="0"/>
            </w:tcBorders>
            <w:shd w:val="clear" w:color="auto" w:fill="auto"/>
            <w:noWrap/>
            <w:vAlign w:val="center"/>
          </w:tcPr>
          <w:p w14:paraId="3E548B77">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476.00 </w:t>
            </w:r>
          </w:p>
        </w:tc>
        <w:tc>
          <w:tcPr>
            <w:tcW w:w="1080" w:type="dxa"/>
            <w:tcBorders>
              <w:top w:val="nil"/>
              <w:left w:val="nil"/>
              <w:bottom w:val="single" w:color="auto" w:sz="4" w:space="0"/>
              <w:right w:val="single" w:color="auto" w:sz="4" w:space="0"/>
            </w:tcBorders>
            <w:shd w:val="clear" w:color="auto" w:fill="auto"/>
            <w:noWrap/>
            <w:vAlign w:val="center"/>
          </w:tcPr>
          <w:p w14:paraId="4C771FE8">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2.10%</w:t>
            </w:r>
          </w:p>
        </w:tc>
      </w:tr>
      <w:tr w14:paraId="22079010">
        <w:tblPrEx>
          <w:tblCellMar>
            <w:top w:w="0" w:type="dxa"/>
            <w:left w:w="108" w:type="dxa"/>
            <w:bottom w:w="0" w:type="dxa"/>
            <w:right w:w="108" w:type="dxa"/>
          </w:tblCellMar>
        </w:tblPrEx>
        <w:trPr>
          <w:trHeight w:val="561" w:hRule="atLeast"/>
          <w:jc w:val="center"/>
        </w:trPr>
        <w:tc>
          <w:tcPr>
            <w:tcW w:w="1360" w:type="dxa"/>
            <w:vMerge w:val="continue"/>
            <w:tcBorders>
              <w:top w:val="nil"/>
              <w:left w:val="single" w:color="auto" w:sz="4" w:space="0"/>
              <w:bottom w:val="single" w:color="auto" w:sz="4" w:space="0"/>
              <w:right w:val="single" w:color="auto" w:sz="4" w:space="0"/>
            </w:tcBorders>
            <w:vAlign w:val="center"/>
          </w:tcPr>
          <w:p w14:paraId="2BDCD5AC">
            <w:pPr>
              <w:widowControl/>
              <w:spacing w:line="240" w:lineRule="auto"/>
              <w:ind w:firstLine="0" w:firstLineChars="0"/>
              <w:jc w:val="left"/>
              <w:rPr>
                <w:rFonts w:hint="eastAsia" w:cs="宋体"/>
                <w:color w:val="auto"/>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14:paraId="51FDFBA1">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债券发行费</w:t>
            </w:r>
          </w:p>
        </w:tc>
        <w:tc>
          <w:tcPr>
            <w:tcW w:w="1180" w:type="dxa"/>
            <w:tcBorders>
              <w:top w:val="nil"/>
              <w:left w:val="nil"/>
              <w:bottom w:val="single" w:color="auto" w:sz="4" w:space="0"/>
              <w:right w:val="single" w:color="auto" w:sz="4" w:space="0"/>
            </w:tcBorders>
            <w:shd w:val="clear" w:color="auto" w:fill="auto"/>
            <w:noWrap/>
            <w:vAlign w:val="center"/>
          </w:tcPr>
          <w:p w14:paraId="17AB28A8">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14.00 </w:t>
            </w:r>
          </w:p>
        </w:tc>
        <w:tc>
          <w:tcPr>
            <w:tcW w:w="1073" w:type="dxa"/>
            <w:tcBorders>
              <w:top w:val="nil"/>
              <w:left w:val="nil"/>
              <w:bottom w:val="single" w:color="auto" w:sz="4" w:space="0"/>
              <w:right w:val="single" w:color="auto" w:sz="4" w:space="0"/>
            </w:tcBorders>
            <w:shd w:val="clear" w:color="auto" w:fill="auto"/>
            <w:noWrap/>
            <w:vAlign w:val="center"/>
          </w:tcPr>
          <w:p w14:paraId="1C436E5B">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0.00 </w:t>
            </w:r>
          </w:p>
        </w:tc>
        <w:tc>
          <w:tcPr>
            <w:tcW w:w="1072" w:type="dxa"/>
            <w:tcBorders>
              <w:top w:val="nil"/>
              <w:left w:val="nil"/>
              <w:bottom w:val="single" w:color="auto" w:sz="4" w:space="0"/>
              <w:right w:val="single" w:color="auto" w:sz="4" w:space="0"/>
            </w:tcBorders>
            <w:shd w:val="clear" w:color="auto" w:fill="auto"/>
            <w:noWrap/>
            <w:vAlign w:val="center"/>
          </w:tcPr>
          <w:p w14:paraId="61ED4ACF">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0.00 </w:t>
            </w:r>
          </w:p>
        </w:tc>
        <w:tc>
          <w:tcPr>
            <w:tcW w:w="1072" w:type="dxa"/>
            <w:tcBorders>
              <w:top w:val="nil"/>
              <w:left w:val="nil"/>
              <w:bottom w:val="single" w:color="auto" w:sz="4" w:space="0"/>
              <w:right w:val="single" w:color="auto" w:sz="4" w:space="0"/>
            </w:tcBorders>
            <w:shd w:val="clear" w:color="auto" w:fill="auto"/>
            <w:noWrap/>
            <w:vAlign w:val="center"/>
          </w:tcPr>
          <w:p w14:paraId="675BD86A">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4.20 </w:t>
            </w:r>
          </w:p>
        </w:tc>
        <w:tc>
          <w:tcPr>
            <w:tcW w:w="1223" w:type="dxa"/>
            <w:tcBorders>
              <w:top w:val="nil"/>
              <w:left w:val="nil"/>
              <w:bottom w:val="single" w:color="auto" w:sz="4" w:space="0"/>
              <w:right w:val="single" w:color="auto" w:sz="4" w:space="0"/>
            </w:tcBorders>
            <w:shd w:val="clear" w:color="auto" w:fill="auto"/>
            <w:noWrap/>
            <w:vAlign w:val="center"/>
          </w:tcPr>
          <w:p w14:paraId="498A45F4">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9.80 </w:t>
            </w:r>
          </w:p>
        </w:tc>
        <w:tc>
          <w:tcPr>
            <w:tcW w:w="1080" w:type="dxa"/>
            <w:tcBorders>
              <w:top w:val="nil"/>
              <w:left w:val="nil"/>
              <w:bottom w:val="single" w:color="auto" w:sz="4" w:space="0"/>
              <w:right w:val="single" w:color="auto" w:sz="4" w:space="0"/>
            </w:tcBorders>
            <w:shd w:val="clear" w:color="auto" w:fill="auto"/>
            <w:noWrap/>
            <w:vAlign w:val="center"/>
          </w:tcPr>
          <w:p w14:paraId="58AA8D9C">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0.05%</w:t>
            </w:r>
          </w:p>
        </w:tc>
      </w:tr>
      <w:tr w14:paraId="5A57D4C5">
        <w:tblPrEx>
          <w:tblCellMar>
            <w:top w:w="0" w:type="dxa"/>
            <w:left w:w="108" w:type="dxa"/>
            <w:bottom w:w="0" w:type="dxa"/>
            <w:right w:w="108" w:type="dxa"/>
          </w:tblCellMar>
        </w:tblPrEx>
        <w:trPr>
          <w:trHeight w:val="561" w:hRule="atLeast"/>
          <w:jc w:val="center"/>
        </w:trPr>
        <w:tc>
          <w:tcPr>
            <w:tcW w:w="1360" w:type="dxa"/>
            <w:vMerge w:val="continue"/>
            <w:tcBorders>
              <w:top w:val="nil"/>
              <w:left w:val="single" w:color="auto" w:sz="4" w:space="0"/>
              <w:bottom w:val="single" w:color="auto" w:sz="4" w:space="0"/>
              <w:right w:val="single" w:color="auto" w:sz="4" w:space="0"/>
            </w:tcBorders>
            <w:vAlign w:val="center"/>
          </w:tcPr>
          <w:p w14:paraId="172E68FE">
            <w:pPr>
              <w:widowControl/>
              <w:spacing w:line="240" w:lineRule="auto"/>
              <w:ind w:firstLine="0" w:firstLineChars="0"/>
              <w:jc w:val="left"/>
              <w:rPr>
                <w:rFonts w:hint="eastAsia" w:cs="宋体"/>
                <w:color w:val="auto"/>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14:paraId="6A7E8E1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项目总投资</w:t>
            </w:r>
          </w:p>
        </w:tc>
        <w:tc>
          <w:tcPr>
            <w:tcW w:w="1180" w:type="dxa"/>
            <w:tcBorders>
              <w:top w:val="nil"/>
              <w:left w:val="nil"/>
              <w:bottom w:val="single" w:color="auto" w:sz="4" w:space="0"/>
              <w:right w:val="single" w:color="auto" w:sz="4" w:space="0"/>
            </w:tcBorders>
            <w:shd w:val="clear" w:color="auto" w:fill="auto"/>
            <w:noWrap/>
            <w:vAlign w:val="center"/>
          </w:tcPr>
          <w:p w14:paraId="141D326A">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29400.00 </w:t>
            </w:r>
          </w:p>
        </w:tc>
        <w:tc>
          <w:tcPr>
            <w:tcW w:w="1073" w:type="dxa"/>
            <w:tcBorders>
              <w:top w:val="nil"/>
              <w:left w:val="nil"/>
              <w:bottom w:val="single" w:color="auto" w:sz="4" w:space="0"/>
              <w:right w:val="single" w:color="auto" w:sz="4" w:space="0"/>
            </w:tcBorders>
            <w:shd w:val="clear" w:color="auto" w:fill="auto"/>
            <w:noWrap/>
            <w:vAlign w:val="center"/>
          </w:tcPr>
          <w:p w14:paraId="3F23D93C">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5D51ACA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2158BAE4">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6715.07 </w:t>
            </w:r>
          </w:p>
        </w:tc>
        <w:tc>
          <w:tcPr>
            <w:tcW w:w="1223" w:type="dxa"/>
            <w:tcBorders>
              <w:top w:val="nil"/>
              <w:left w:val="nil"/>
              <w:bottom w:val="single" w:color="auto" w:sz="4" w:space="0"/>
              <w:right w:val="single" w:color="auto" w:sz="4" w:space="0"/>
            </w:tcBorders>
            <w:shd w:val="clear" w:color="auto" w:fill="auto"/>
            <w:noWrap/>
            <w:vAlign w:val="center"/>
          </w:tcPr>
          <w:p w14:paraId="64066FDA">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20684.93 </w:t>
            </w:r>
          </w:p>
        </w:tc>
        <w:tc>
          <w:tcPr>
            <w:tcW w:w="1080" w:type="dxa"/>
            <w:tcBorders>
              <w:top w:val="nil"/>
              <w:left w:val="nil"/>
              <w:bottom w:val="single" w:color="auto" w:sz="4" w:space="0"/>
              <w:right w:val="single" w:color="auto" w:sz="4" w:space="0"/>
            </w:tcBorders>
            <w:shd w:val="clear" w:color="auto" w:fill="auto"/>
            <w:noWrap/>
            <w:vAlign w:val="center"/>
          </w:tcPr>
          <w:p w14:paraId="65FDF2C8">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100.00%</w:t>
            </w:r>
          </w:p>
        </w:tc>
      </w:tr>
      <w:tr w14:paraId="7FD950DF">
        <w:tblPrEx>
          <w:tblCellMar>
            <w:top w:w="0" w:type="dxa"/>
            <w:left w:w="108" w:type="dxa"/>
            <w:bottom w:w="0" w:type="dxa"/>
            <w:right w:w="108" w:type="dxa"/>
          </w:tblCellMar>
        </w:tblPrEx>
        <w:trPr>
          <w:trHeight w:val="540" w:hRule="atLeast"/>
          <w:jc w:val="center"/>
        </w:trPr>
        <w:tc>
          <w:tcPr>
            <w:tcW w:w="136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768A7BE7">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资金使用计划</w:t>
            </w:r>
          </w:p>
        </w:tc>
        <w:tc>
          <w:tcPr>
            <w:tcW w:w="2080" w:type="dxa"/>
            <w:tcBorders>
              <w:top w:val="nil"/>
              <w:left w:val="nil"/>
              <w:bottom w:val="single" w:color="auto" w:sz="4" w:space="0"/>
              <w:right w:val="single" w:color="auto" w:sz="4" w:space="0"/>
            </w:tcBorders>
            <w:shd w:val="clear" w:color="auto" w:fill="auto"/>
            <w:noWrap/>
            <w:vAlign w:val="center"/>
          </w:tcPr>
          <w:p w14:paraId="39C0542A">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资本金</w:t>
            </w:r>
          </w:p>
        </w:tc>
        <w:tc>
          <w:tcPr>
            <w:tcW w:w="1180" w:type="dxa"/>
            <w:tcBorders>
              <w:top w:val="nil"/>
              <w:left w:val="nil"/>
              <w:bottom w:val="single" w:color="auto" w:sz="4" w:space="0"/>
              <w:right w:val="single" w:color="auto" w:sz="4" w:space="0"/>
            </w:tcBorders>
            <w:shd w:val="clear" w:color="auto" w:fill="auto"/>
            <w:noWrap/>
            <w:vAlign w:val="center"/>
          </w:tcPr>
          <w:p w14:paraId="2269A3DB">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15400.00 </w:t>
            </w:r>
          </w:p>
        </w:tc>
        <w:tc>
          <w:tcPr>
            <w:tcW w:w="1073" w:type="dxa"/>
            <w:tcBorders>
              <w:top w:val="nil"/>
              <w:left w:val="nil"/>
              <w:bottom w:val="single" w:color="auto" w:sz="4" w:space="0"/>
              <w:right w:val="single" w:color="auto" w:sz="4" w:space="0"/>
            </w:tcBorders>
            <w:shd w:val="clear" w:color="auto" w:fill="auto"/>
            <w:noWrap/>
            <w:vAlign w:val="center"/>
          </w:tcPr>
          <w:p w14:paraId="49BFBECE">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5C07D228">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331622E5">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2515.07 </w:t>
            </w:r>
          </w:p>
        </w:tc>
        <w:tc>
          <w:tcPr>
            <w:tcW w:w="1223" w:type="dxa"/>
            <w:tcBorders>
              <w:top w:val="nil"/>
              <w:left w:val="nil"/>
              <w:bottom w:val="single" w:color="auto" w:sz="4" w:space="0"/>
              <w:right w:val="single" w:color="auto" w:sz="4" w:space="0"/>
            </w:tcBorders>
            <w:shd w:val="clear" w:color="auto" w:fill="auto"/>
            <w:noWrap/>
            <w:vAlign w:val="center"/>
          </w:tcPr>
          <w:p w14:paraId="73458747">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10884.93 </w:t>
            </w:r>
          </w:p>
        </w:tc>
        <w:tc>
          <w:tcPr>
            <w:tcW w:w="1080" w:type="dxa"/>
            <w:tcBorders>
              <w:top w:val="nil"/>
              <w:left w:val="nil"/>
              <w:bottom w:val="single" w:color="auto" w:sz="4" w:space="0"/>
              <w:right w:val="single" w:color="auto" w:sz="4" w:space="0"/>
            </w:tcBorders>
            <w:shd w:val="clear" w:color="auto" w:fill="auto"/>
            <w:noWrap/>
            <w:vAlign w:val="center"/>
          </w:tcPr>
          <w:p w14:paraId="4D6391B3">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52.38%</w:t>
            </w:r>
          </w:p>
        </w:tc>
      </w:tr>
      <w:tr w14:paraId="20BC86E0">
        <w:tblPrEx>
          <w:tblCellMar>
            <w:top w:w="0" w:type="dxa"/>
            <w:left w:w="108" w:type="dxa"/>
            <w:bottom w:w="0" w:type="dxa"/>
            <w:right w:w="108" w:type="dxa"/>
          </w:tblCellMar>
        </w:tblPrEx>
        <w:trPr>
          <w:trHeight w:val="540" w:hRule="atLeast"/>
          <w:jc w:val="center"/>
        </w:trPr>
        <w:tc>
          <w:tcPr>
            <w:tcW w:w="1360" w:type="dxa"/>
            <w:vMerge w:val="continue"/>
            <w:tcBorders>
              <w:top w:val="nil"/>
              <w:left w:val="single" w:color="auto" w:sz="4" w:space="0"/>
              <w:bottom w:val="single" w:color="000000" w:sz="4" w:space="0"/>
              <w:right w:val="single" w:color="auto" w:sz="4" w:space="0"/>
            </w:tcBorders>
            <w:vAlign w:val="center"/>
          </w:tcPr>
          <w:p w14:paraId="4F007AD7">
            <w:pPr>
              <w:widowControl/>
              <w:spacing w:line="240" w:lineRule="auto"/>
              <w:ind w:firstLine="0" w:firstLineChars="0"/>
              <w:jc w:val="left"/>
              <w:rPr>
                <w:rFonts w:hint="eastAsia" w:cs="宋体"/>
                <w:color w:val="auto"/>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14:paraId="60755F7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发行债券</w:t>
            </w:r>
          </w:p>
        </w:tc>
        <w:tc>
          <w:tcPr>
            <w:tcW w:w="1180" w:type="dxa"/>
            <w:tcBorders>
              <w:top w:val="nil"/>
              <w:left w:val="nil"/>
              <w:bottom w:val="single" w:color="auto" w:sz="4" w:space="0"/>
              <w:right w:val="single" w:color="auto" w:sz="4" w:space="0"/>
            </w:tcBorders>
            <w:shd w:val="clear" w:color="auto" w:fill="auto"/>
            <w:noWrap/>
            <w:vAlign w:val="center"/>
          </w:tcPr>
          <w:p w14:paraId="11DB9459">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14000.00 </w:t>
            </w:r>
          </w:p>
        </w:tc>
        <w:tc>
          <w:tcPr>
            <w:tcW w:w="1073" w:type="dxa"/>
            <w:tcBorders>
              <w:top w:val="nil"/>
              <w:left w:val="nil"/>
              <w:bottom w:val="single" w:color="auto" w:sz="4" w:space="0"/>
              <w:right w:val="single" w:color="auto" w:sz="4" w:space="0"/>
            </w:tcBorders>
            <w:shd w:val="clear" w:color="auto" w:fill="auto"/>
            <w:noWrap/>
            <w:vAlign w:val="center"/>
          </w:tcPr>
          <w:p w14:paraId="2FD6DE71">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0.00 </w:t>
            </w:r>
          </w:p>
        </w:tc>
        <w:tc>
          <w:tcPr>
            <w:tcW w:w="1072" w:type="dxa"/>
            <w:tcBorders>
              <w:top w:val="nil"/>
              <w:left w:val="nil"/>
              <w:bottom w:val="single" w:color="auto" w:sz="4" w:space="0"/>
              <w:right w:val="single" w:color="auto" w:sz="4" w:space="0"/>
            </w:tcBorders>
            <w:shd w:val="clear" w:color="auto" w:fill="auto"/>
            <w:noWrap/>
            <w:vAlign w:val="center"/>
          </w:tcPr>
          <w:p w14:paraId="61207329">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0.00 </w:t>
            </w:r>
          </w:p>
        </w:tc>
        <w:tc>
          <w:tcPr>
            <w:tcW w:w="1072" w:type="dxa"/>
            <w:tcBorders>
              <w:top w:val="nil"/>
              <w:left w:val="nil"/>
              <w:bottom w:val="single" w:color="auto" w:sz="4" w:space="0"/>
              <w:right w:val="single" w:color="auto" w:sz="4" w:space="0"/>
            </w:tcBorders>
            <w:shd w:val="clear" w:color="auto" w:fill="auto"/>
            <w:noWrap/>
            <w:vAlign w:val="center"/>
          </w:tcPr>
          <w:p w14:paraId="34EECB21">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4200.00 </w:t>
            </w:r>
          </w:p>
        </w:tc>
        <w:tc>
          <w:tcPr>
            <w:tcW w:w="1223" w:type="dxa"/>
            <w:tcBorders>
              <w:top w:val="nil"/>
              <w:left w:val="nil"/>
              <w:bottom w:val="single" w:color="auto" w:sz="4" w:space="0"/>
              <w:right w:val="single" w:color="auto" w:sz="4" w:space="0"/>
            </w:tcBorders>
            <w:shd w:val="clear" w:color="auto" w:fill="auto"/>
            <w:noWrap/>
            <w:vAlign w:val="center"/>
          </w:tcPr>
          <w:p w14:paraId="47F385A8">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9800.00 </w:t>
            </w:r>
          </w:p>
        </w:tc>
        <w:tc>
          <w:tcPr>
            <w:tcW w:w="1080" w:type="dxa"/>
            <w:tcBorders>
              <w:top w:val="nil"/>
              <w:left w:val="nil"/>
              <w:bottom w:val="single" w:color="auto" w:sz="4" w:space="0"/>
              <w:right w:val="single" w:color="auto" w:sz="4" w:space="0"/>
            </w:tcBorders>
            <w:shd w:val="clear" w:color="auto" w:fill="auto"/>
            <w:noWrap/>
            <w:vAlign w:val="center"/>
          </w:tcPr>
          <w:p w14:paraId="645B619C">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47.62%</w:t>
            </w:r>
          </w:p>
        </w:tc>
      </w:tr>
      <w:tr w14:paraId="2AB02C8B">
        <w:tblPrEx>
          <w:tblCellMar>
            <w:top w:w="0" w:type="dxa"/>
            <w:left w:w="108" w:type="dxa"/>
            <w:bottom w:w="0" w:type="dxa"/>
            <w:right w:w="108" w:type="dxa"/>
          </w:tblCellMar>
        </w:tblPrEx>
        <w:trPr>
          <w:trHeight w:val="540" w:hRule="atLeast"/>
          <w:jc w:val="center"/>
        </w:trPr>
        <w:tc>
          <w:tcPr>
            <w:tcW w:w="1360" w:type="dxa"/>
            <w:vMerge w:val="continue"/>
            <w:tcBorders>
              <w:top w:val="nil"/>
              <w:left w:val="single" w:color="auto" w:sz="4" w:space="0"/>
              <w:bottom w:val="single" w:color="000000" w:sz="4" w:space="0"/>
              <w:right w:val="single" w:color="auto" w:sz="4" w:space="0"/>
            </w:tcBorders>
            <w:vAlign w:val="center"/>
          </w:tcPr>
          <w:p w14:paraId="7B8EF3BF">
            <w:pPr>
              <w:widowControl/>
              <w:spacing w:line="240" w:lineRule="auto"/>
              <w:ind w:firstLine="0" w:firstLineChars="0"/>
              <w:jc w:val="left"/>
              <w:rPr>
                <w:rFonts w:hint="eastAsia" w:cs="宋体"/>
                <w:color w:val="auto"/>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14:paraId="3629E551">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资金使用合计</w:t>
            </w:r>
          </w:p>
        </w:tc>
        <w:tc>
          <w:tcPr>
            <w:tcW w:w="1180" w:type="dxa"/>
            <w:tcBorders>
              <w:top w:val="nil"/>
              <w:left w:val="nil"/>
              <w:bottom w:val="single" w:color="auto" w:sz="4" w:space="0"/>
              <w:right w:val="single" w:color="auto" w:sz="4" w:space="0"/>
            </w:tcBorders>
            <w:shd w:val="clear" w:color="auto" w:fill="auto"/>
            <w:noWrap/>
            <w:vAlign w:val="center"/>
          </w:tcPr>
          <w:p w14:paraId="004F22E1">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29400.00 </w:t>
            </w:r>
          </w:p>
        </w:tc>
        <w:tc>
          <w:tcPr>
            <w:tcW w:w="1073" w:type="dxa"/>
            <w:tcBorders>
              <w:top w:val="nil"/>
              <w:left w:val="nil"/>
              <w:bottom w:val="single" w:color="auto" w:sz="4" w:space="0"/>
              <w:right w:val="single" w:color="auto" w:sz="4" w:space="0"/>
            </w:tcBorders>
            <w:shd w:val="clear" w:color="auto" w:fill="auto"/>
            <w:noWrap/>
            <w:vAlign w:val="center"/>
          </w:tcPr>
          <w:p w14:paraId="76F9CC08">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681534E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1000.00 </w:t>
            </w:r>
          </w:p>
        </w:tc>
        <w:tc>
          <w:tcPr>
            <w:tcW w:w="1072" w:type="dxa"/>
            <w:tcBorders>
              <w:top w:val="nil"/>
              <w:left w:val="nil"/>
              <w:bottom w:val="single" w:color="auto" w:sz="4" w:space="0"/>
              <w:right w:val="single" w:color="auto" w:sz="4" w:space="0"/>
            </w:tcBorders>
            <w:shd w:val="clear" w:color="auto" w:fill="auto"/>
            <w:noWrap/>
            <w:vAlign w:val="center"/>
          </w:tcPr>
          <w:p w14:paraId="109AB292">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6715.07 </w:t>
            </w:r>
          </w:p>
        </w:tc>
        <w:tc>
          <w:tcPr>
            <w:tcW w:w="1223" w:type="dxa"/>
            <w:tcBorders>
              <w:top w:val="nil"/>
              <w:left w:val="nil"/>
              <w:bottom w:val="single" w:color="auto" w:sz="4" w:space="0"/>
              <w:right w:val="single" w:color="auto" w:sz="4" w:space="0"/>
            </w:tcBorders>
            <w:shd w:val="clear" w:color="auto" w:fill="auto"/>
            <w:noWrap/>
            <w:vAlign w:val="center"/>
          </w:tcPr>
          <w:p w14:paraId="19C1572B">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 xml:space="preserve">20684.93 </w:t>
            </w:r>
          </w:p>
        </w:tc>
        <w:tc>
          <w:tcPr>
            <w:tcW w:w="1080" w:type="dxa"/>
            <w:tcBorders>
              <w:top w:val="nil"/>
              <w:left w:val="nil"/>
              <w:bottom w:val="single" w:color="auto" w:sz="4" w:space="0"/>
              <w:right w:val="single" w:color="auto" w:sz="4" w:space="0"/>
            </w:tcBorders>
            <w:shd w:val="clear" w:color="auto" w:fill="auto"/>
            <w:noWrap/>
            <w:vAlign w:val="center"/>
          </w:tcPr>
          <w:p w14:paraId="2939D514">
            <w:pPr>
              <w:widowControl/>
              <w:spacing w:line="240" w:lineRule="auto"/>
              <w:ind w:firstLine="0" w:firstLineChars="0"/>
              <w:jc w:val="center"/>
              <w:rPr>
                <w:rFonts w:hint="eastAsia" w:cs="宋体"/>
                <w:color w:val="auto"/>
                <w:kern w:val="0"/>
                <w:sz w:val="20"/>
                <w:szCs w:val="20"/>
              </w:rPr>
            </w:pPr>
            <w:r>
              <w:rPr>
                <w:rFonts w:hint="eastAsia" w:cs="宋体"/>
                <w:color w:val="auto"/>
                <w:kern w:val="0"/>
                <w:sz w:val="20"/>
                <w:szCs w:val="20"/>
              </w:rPr>
              <w:t>100.00%</w:t>
            </w:r>
          </w:p>
        </w:tc>
      </w:tr>
    </w:tbl>
    <w:p w14:paraId="5CB9D2EC">
      <w:pPr>
        <w:spacing w:line="560" w:lineRule="exact"/>
        <w:ind w:firstLine="640"/>
        <w:rPr>
          <w:rFonts w:hint="eastAsia" w:ascii="仿宋" w:hAnsi="仿宋" w:eastAsia="仿宋"/>
          <w:color w:val="auto"/>
          <w:sz w:val="32"/>
          <w:szCs w:val="32"/>
        </w:rPr>
      </w:pPr>
    </w:p>
    <w:p w14:paraId="5CB9D2ED">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四、项目预期收益、成本及融资平衡情况</w:t>
      </w:r>
    </w:p>
    <w:p w14:paraId="5CB9D2EE">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（一）预期收益</w:t>
      </w:r>
    </w:p>
    <w:p w14:paraId="5CB9D2EF">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1.项目收入</w:t>
      </w:r>
    </w:p>
    <w:p w14:paraId="5CB9D2F0">
      <w:pPr>
        <w:ind w:firstLine="480"/>
        <w:rPr>
          <w:rFonts w:hint="eastAsia"/>
          <w:color w:val="auto"/>
        </w:rPr>
      </w:pPr>
      <w:bookmarkStart w:id="1" w:name="_Hlk43423686"/>
      <w:bookmarkStart w:id="2" w:name="_Hlk41910341"/>
      <w:r>
        <w:rPr>
          <w:rFonts w:hint="eastAsia"/>
          <w:color w:val="auto"/>
        </w:rPr>
        <w:t>白玉县城镇集中供暖工程收入来源主要为项目建成后供暖收入。项目运营期内运营收入合计74743.14</w:t>
      </w:r>
      <w:r>
        <w:rPr>
          <w:color w:val="auto"/>
        </w:rPr>
        <w:t>万元，属于专项收入，纳入政府性基金预算管理。项目收入来源有事实依据，整体具有可行性。</w:t>
      </w:r>
    </w:p>
    <w:bookmarkEnd w:id="1"/>
    <w:p w14:paraId="5CB9D2F2">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2.项目成本</w:t>
      </w:r>
    </w:p>
    <w:p w14:paraId="5CB9D2F3">
      <w:pPr>
        <w:ind w:firstLine="480"/>
        <w:rPr>
          <w:rFonts w:hint="eastAsia"/>
          <w:bCs/>
          <w:color w:val="auto"/>
          <w:kern w:val="0"/>
        </w:rPr>
      </w:pPr>
      <w:r>
        <w:rPr>
          <w:rFonts w:hint="eastAsia"/>
          <w:bCs/>
          <w:color w:val="auto"/>
          <w:kern w:val="0"/>
        </w:rPr>
        <w:t>本项目建成后运营期间的成本费用，共计</w:t>
      </w:r>
      <w:r>
        <w:rPr>
          <w:rFonts w:hint="eastAsia"/>
          <w:color w:val="auto"/>
        </w:rPr>
        <w:t>27254.05</w:t>
      </w:r>
      <w:r>
        <w:rPr>
          <w:bCs/>
          <w:color w:val="auto"/>
          <w:kern w:val="0"/>
        </w:rPr>
        <w:t>万元，主要包括动力费、人员工资及福利费、修缮费、</w:t>
      </w:r>
      <w:r>
        <w:rPr>
          <w:rFonts w:hint="eastAsia"/>
          <w:bCs/>
          <w:color w:val="auto"/>
          <w:kern w:val="0"/>
        </w:rPr>
        <w:t>期间</w:t>
      </w:r>
      <w:r>
        <w:rPr>
          <w:bCs/>
          <w:color w:val="auto"/>
          <w:kern w:val="0"/>
        </w:rPr>
        <w:t>费用、</w:t>
      </w:r>
      <w:r>
        <w:rPr>
          <w:rFonts w:hint="eastAsia"/>
          <w:bCs/>
          <w:color w:val="auto"/>
          <w:kern w:val="0"/>
        </w:rPr>
        <w:t>水费用、</w:t>
      </w:r>
      <w:r>
        <w:rPr>
          <w:bCs/>
          <w:color w:val="auto"/>
          <w:kern w:val="0"/>
        </w:rPr>
        <w:t>折旧与摊销、相关税费和利息。</w:t>
      </w:r>
    </w:p>
    <w:p w14:paraId="5CB9D2F4">
      <w:pPr>
        <w:pStyle w:val="2"/>
        <w:ind w:firstLine="210"/>
        <w:rPr>
          <w:rFonts w:ascii="仿宋" w:hAnsi="仿宋" w:eastAsia="仿宋"/>
          <w:color w:val="auto"/>
        </w:rPr>
      </w:pPr>
    </w:p>
    <w:p w14:paraId="5CB9D2F5">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（二）资金测算平衡情况</w:t>
      </w:r>
    </w:p>
    <w:p w14:paraId="5CB9D2F7">
      <w:pPr>
        <w:ind w:firstLine="480"/>
        <w:rPr>
          <w:rFonts w:hint="eastAsia"/>
          <w:color w:val="auto"/>
        </w:rPr>
      </w:pPr>
      <w:r>
        <w:rPr>
          <w:rFonts w:hint="eastAsia"/>
          <w:color w:val="auto"/>
        </w:rPr>
        <w:t>白玉县城镇集中供暖工程采用政府专项债的方式融资，待本项目全部</w:t>
      </w:r>
      <w:r>
        <w:rPr>
          <w:color w:val="auto"/>
        </w:rPr>
        <w:t>14000.00万元专项债券到期时，在偿还当年到期的专项债券本息后，将仍有19827.89万元的累计现金结余，本期债券本息的覆盖率为1.68倍，预期实现的运营净收入能够合理保障偿还融资本金和利息,能够实现项目收益和融资自求平衡。</w:t>
      </w:r>
    </w:p>
    <w:p w14:paraId="5CB9D2F8">
      <w:pPr>
        <w:ind w:firstLine="480"/>
        <w:rPr>
          <w:rFonts w:hint="eastAsia"/>
          <w:color w:val="auto"/>
        </w:rPr>
      </w:pPr>
      <w:r>
        <w:rPr>
          <w:rFonts w:hint="eastAsia"/>
          <w:color w:val="auto"/>
        </w:rPr>
        <w:t>项目资金测算平衡情况如下表所示：</w:t>
      </w:r>
    </w:p>
    <w:p w14:paraId="5CB9D2FE">
      <w:pPr>
        <w:ind w:firstLine="480"/>
        <w:rPr>
          <w:rFonts w:hint="eastAsia"/>
          <w:color w:val="auto"/>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5CB9D792">
      <w:pPr>
        <w:pStyle w:val="45"/>
        <w:rPr>
          <w:rFonts w:hint="eastAsia"/>
          <w:color w:val="auto"/>
        </w:rPr>
      </w:pPr>
      <w:r>
        <w:rPr>
          <w:rFonts w:hint="eastAsia"/>
          <w:color w:val="auto"/>
          <w:lang w:eastAsia="zh-Hans"/>
        </w:rPr>
        <w:t>项目资金测算平衡表</w:t>
      </w:r>
      <w:r>
        <w:rPr>
          <w:rFonts w:hint="eastAsia"/>
          <w:color w:val="auto"/>
        </w:rPr>
        <w:t>（金额单位：人民币万元）</w:t>
      </w:r>
    </w:p>
    <w:tbl>
      <w:tblPr>
        <w:tblStyle w:val="26"/>
        <w:tblW w:w="4998" w:type="pct"/>
        <w:jc w:val="center"/>
        <w:tblLayout w:type="autofit"/>
        <w:tblCellMar>
          <w:top w:w="0" w:type="dxa"/>
          <w:left w:w="0" w:type="dxa"/>
          <w:bottom w:w="0" w:type="dxa"/>
          <w:right w:w="0" w:type="dxa"/>
        </w:tblCellMar>
      </w:tblPr>
      <w:tblGrid>
        <w:gridCol w:w="2252"/>
        <w:gridCol w:w="697"/>
        <w:gridCol w:w="638"/>
        <w:gridCol w:w="781"/>
        <w:gridCol w:w="787"/>
        <w:gridCol w:w="731"/>
        <w:gridCol w:w="731"/>
        <w:gridCol w:w="731"/>
        <w:gridCol w:w="731"/>
        <w:gridCol w:w="731"/>
        <w:gridCol w:w="731"/>
        <w:gridCol w:w="731"/>
        <w:gridCol w:w="731"/>
        <w:gridCol w:w="731"/>
        <w:gridCol w:w="731"/>
        <w:gridCol w:w="731"/>
        <w:gridCol w:w="731"/>
        <w:gridCol w:w="731"/>
        <w:gridCol w:w="744"/>
      </w:tblGrid>
      <w:tr w14:paraId="52792DED">
        <w:tblPrEx>
          <w:tblCellMar>
            <w:top w:w="0" w:type="dxa"/>
            <w:left w:w="0" w:type="dxa"/>
            <w:bottom w:w="0" w:type="dxa"/>
            <w:right w:w="0" w:type="dxa"/>
          </w:tblCellMar>
        </w:tblPrEx>
        <w:trPr>
          <w:trHeight w:val="389" w:hRule="atLeast"/>
          <w:jc w:val="center"/>
        </w:trPr>
        <w:tc>
          <w:tcPr>
            <w:tcW w:w="724" w:type="pct"/>
            <w:vMerge w:val="restart"/>
            <w:tcBorders>
              <w:top w:val="single" w:color="000000" w:sz="4" w:space="0"/>
              <w:left w:val="single" w:color="000000" w:sz="4" w:space="0"/>
              <w:bottom w:val="single" w:color="000000" w:sz="4" w:space="0"/>
              <w:right w:val="single" w:color="000000" w:sz="4" w:space="0"/>
            </w:tcBorders>
            <w:vAlign w:val="center"/>
          </w:tcPr>
          <w:p w14:paraId="11CCBD0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项目</w:t>
            </w:r>
          </w:p>
        </w:tc>
        <w:tc>
          <w:tcPr>
            <w:tcW w:w="933" w:type="pct"/>
            <w:gridSpan w:val="4"/>
            <w:tcBorders>
              <w:top w:val="single" w:color="000000" w:sz="4" w:space="0"/>
              <w:left w:val="single" w:color="000000" w:sz="4" w:space="0"/>
              <w:bottom w:val="single" w:color="000000" w:sz="4" w:space="0"/>
              <w:right w:val="nil"/>
            </w:tcBorders>
            <w:noWrap/>
            <w:vAlign w:val="center"/>
          </w:tcPr>
          <w:p w14:paraId="767CAB6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建设期投资</w:t>
            </w:r>
          </w:p>
        </w:tc>
        <w:tc>
          <w:tcPr>
            <w:tcW w:w="3294" w:type="pct"/>
            <w:gridSpan w:val="14"/>
            <w:tcBorders>
              <w:top w:val="single" w:color="000000" w:sz="4" w:space="0"/>
              <w:left w:val="single" w:color="000000" w:sz="4" w:space="0"/>
              <w:bottom w:val="single" w:color="000000" w:sz="4" w:space="0"/>
              <w:right w:val="single" w:color="000000" w:sz="4" w:space="0"/>
            </w:tcBorders>
            <w:noWrap/>
            <w:vAlign w:val="center"/>
          </w:tcPr>
          <w:p w14:paraId="27C883E8">
            <w:pPr>
              <w:spacing w:line="240" w:lineRule="auto"/>
              <w:ind w:firstLine="0" w:firstLineChars="0"/>
              <w:jc w:val="center"/>
              <w:rPr>
                <w:rFonts w:hint="eastAsia" w:cs="仿宋"/>
                <w:color w:val="auto"/>
                <w:sz w:val="14"/>
                <w:szCs w:val="14"/>
              </w:rPr>
            </w:pPr>
            <w:r>
              <w:rPr>
                <w:rFonts w:hint="eastAsia" w:cs="仿宋"/>
                <w:color w:val="auto"/>
                <w:kern w:val="0"/>
                <w:sz w:val="14"/>
                <w:szCs w:val="14"/>
                <w:lang w:bidi="ar"/>
              </w:rPr>
              <w:t>运营期（年）</w:t>
            </w:r>
          </w:p>
        </w:tc>
      </w:tr>
      <w:tr w14:paraId="6D5BFE27">
        <w:tblPrEx>
          <w:tblCellMar>
            <w:top w:w="0" w:type="dxa"/>
            <w:left w:w="0" w:type="dxa"/>
            <w:bottom w:w="0" w:type="dxa"/>
            <w:right w:w="0" w:type="dxa"/>
          </w:tblCellMar>
        </w:tblPrEx>
        <w:trPr>
          <w:trHeight w:val="389"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vAlign w:val="center"/>
          </w:tcPr>
          <w:p w14:paraId="0DE3C45A">
            <w:pPr>
              <w:spacing w:line="240" w:lineRule="auto"/>
              <w:ind w:firstLine="0" w:firstLineChars="0"/>
              <w:jc w:val="center"/>
              <w:rPr>
                <w:rFonts w:hint="eastAsia" w:cs="仿宋"/>
                <w:color w:val="auto"/>
                <w:sz w:val="14"/>
                <w:szCs w:val="14"/>
              </w:rPr>
            </w:pP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75F06FB5">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23FA69BE">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2</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8B7629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E4DCFB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A25597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5E5415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708285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EFFFF2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DED20F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D165F7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E588FB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68DA67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37CE0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EE73E6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852C6A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A9C7D9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08BD4A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F6A556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w:t>
            </w:r>
          </w:p>
        </w:tc>
      </w:tr>
      <w:tr w14:paraId="7F6D49E3">
        <w:tblPrEx>
          <w:tblCellMar>
            <w:top w:w="0" w:type="dxa"/>
            <w:left w:w="0" w:type="dxa"/>
            <w:bottom w:w="0" w:type="dxa"/>
            <w:right w:w="0" w:type="dxa"/>
          </w:tblCellMar>
        </w:tblPrEx>
        <w:trPr>
          <w:trHeight w:val="90"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D3209E9">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经营活动净现金流量（1.1-1.2）</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03B337A5">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0D6A5C22">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45D37C1">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730B1D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2227C7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906.01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00CA28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1107.55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C4576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1308.95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A5A118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1484.73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5EBB8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1589.10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94D54A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1586.29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6B57B5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1587.31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B4A597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1582.36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E56999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1580.04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B4F4FF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1645.69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BC427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1643.19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D4E0FB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1640.67</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6BCD1F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1711.04</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4CEDFD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1708.32</w:t>
            </w:r>
          </w:p>
        </w:tc>
      </w:tr>
      <w:tr w14:paraId="35F8F28E">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1EB87810">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25E2B530">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054DAED5">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038E44B">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19ACC9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AA7914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1472.56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97E05B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1682.93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2AE606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1893.29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6B4185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2099.05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617B1A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2209.52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60735E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2209.52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DAB976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2319.45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ADC95B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2319.45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B67C5E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2319.45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720DD0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2434.82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2CC3DC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2434.82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06A7B7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2434.82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0E85D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2556.96</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6830DF7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2556.96</w:t>
            </w:r>
          </w:p>
        </w:tc>
      </w:tr>
      <w:tr w14:paraId="344EE49D">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2A7DF8C5">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营业收入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3DBD6679">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2610FFAF">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52D9A3D">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18302C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A0F815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1472.56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FE28F3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1682.93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9E422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1893.29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F5C729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2099.05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8A5BD7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2209.52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9623C3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2209.52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8AC2C5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2319.45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02D1DA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2319.45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DD8788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2319.45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4947E2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2434.82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FB77C7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2434.82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D2F088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2434.82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67AD7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2556.96</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44776AF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2556.96</w:t>
            </w:r>
          </w:p>
        </w:tc>
      </w:tr>
      <w:tr w14:paraId="318966E1">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51A529EF">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补贴收入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484699EE">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578C0CB6">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2D0865F">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4BFC5B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C10400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6759B9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8DE050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872F6D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D7388A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44DD7D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95D377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826394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D6F6F1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704D41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F48517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469178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EB911E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1CEFAB4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6868D3CB">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F3C9B27">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53192A11">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076FB49B">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63705D65">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68BBE9A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BFF45B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B236BF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8F158F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DEFCA9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33BACE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3647CD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116586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49B9B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4665C9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5FB3F7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2BF531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0E3411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9440D5B">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22C1305B">
            <w:pPr>
              <w:spacing w:line="240" w:lineRule="auto"/>
              <w:ind w:firstLine="0" w:firstLineChars="0"/>
              <w:jc w:val="center"/>
              <w:rPr>
                <w:rFonts w:hint="eastAsia" w:cs="仿宋"/>
                <w:color w:val="auto"/>
                <w:sz w:val="14"/>
                <w:szCs w:val="14"/>
              </w:rPr>
            </w:pPr>
          </w:p>
        </w:tc>
      </w:tr>
      <w:tr w14:paraId="67EC0AE7">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1892108E">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3691CA17">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1202982B">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8946BDD">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0FAA04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9E396F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566.55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B234D0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575.38</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44F1AC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584.34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9C3FDB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614.32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EE94E3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620.42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769792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623.23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45AA93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732.14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51A4BB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737.09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D88AA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739.41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A4CA97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789.13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A0D66C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791.63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F2C135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794.15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8EEDBE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845.92</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6E770AF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848.64</w:t>
            </w:r>
          </w:p>
        </w:tc>
      </w:tr>
      <w:tr w14:paraId="6EF44CBF">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656B3F38">
            <w:pPr>
              <w:widowControl/>
              <w:spacing w:line="240" w:lineRule="auto"/>
              <w:ind w:firstLine="0" w:firstLineChars="0"/>
              <w:textAlignment w:val="center"/>
              <w:rPr>
                <w:rFonts w:hint="eastAsia" w:cs="仿宋"/>
                <w:color w:val="auto"/>
                <w:sz w:val="14"/>
                <w:szCs w:val="14"/>
              </w:rPr>
            </w:pPr>
            <w:r>
              <w:rPr>
                <w:rFonts w:hint="eastAsia" w:cs="仿宋"/>
                <w:color w:val="auto"/>
                <w:kern w:val="0"/>
                <w:sz w:val="14"/>
                <w:szCs w:val="14"/>
                <w:lang w:bidi="ar"/>
              </w:rPr>
              <w:t>经营成本</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5E65387C">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C34D186">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156F1C6">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F86089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403F2D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566.55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687796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575.38</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649E5D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584.34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C047A5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614.32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2D6761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620.42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87DD87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623.23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EE6A51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650.63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15895A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653.70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E73401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656.80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66F041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684.63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BFC5CF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687.96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B883B1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691.32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44EB70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719.64</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6AD0FFD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723.26</w:t>
            </w:r>
          </w:p>
        </w:tc>
      </w:tr>
      <w:tr w14:paraId="0AB3EA03">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2D3133A6">
            <w:pPr>
              <w:widowControl/>
              <w:spacing w:line="240" w:lineRule="auto"/>
              <w:ind w:firstLine="0" w:firstLineChars="0"/>
              <w:textAlignment w:val="center"/>
              <w:rPr>
                <w:rFonts w:hint="eastAsia" w:cs="仿宋"/>
                <w:color w:val="auto"/>
                <w:sz w:val="14"/>
                <w:szCs w:val="14"/>
              </w:rPr>
            </w:pPr>
            <w:r>
              <w:rPr>
                <w:rFonts w:hint="eastAsia" w:cs="仿宋"/>
                <w:color w:val="auto"/>
                <w:kern w:val="0"/>
                <w:sz w:val="14"/>
                <w:szCs w:val="14"/>
                <w:lang w:bidi="ar"/>
              </w:rPr>
              <w:t>税金及附加</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53972F4F">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9FED8E4">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0D391F2">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F92D91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F9E273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153FC5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E0483B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E3F370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A2F4FD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4163FA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4948FA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257FD7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4A3AB7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5F63AB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2375EB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138687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C0C97F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1A2EA67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5518D10F">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332527F8">
            <w:pPr>
              <w:widowControl/>
              <w:spacing w:line="240" w:lineRule="auto"/>
              <w:ind w:firstLine="0" w:firstLineChars="0"/>
              <w:textAlignment w:val="center"/>
              <w:rPr>
                <w:rFonts w:hint="eastAsia" w:cs="仿宋"/>
                <w:color w:val="auto"/>
                <w:sz w:val="14"/>
                <w:szCs w:val="14"/>
              </w:rPr>
            </w:pPr>
            <w:r>
              <w:rPr>
                <w:rFonts w:hint="eastAsia" w:cs="仿宋"/>
                <w:color w:val="auto"/>
                <w:kern w:val="0"/>
                <w:sz w:val="14"/>
                <w:szCs w:val="14"/>
                <w:lang w:bidi="ar"/>
              </w:rPr>
              <w:t>所得税</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337B1562">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13F02499">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EB8CCCE">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296092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E8E81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21BAD0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ACA42C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C71C16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16AF0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8460C2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24D98E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81.51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5F084A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83.39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71CE7B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82.61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AF2E99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104.50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3F74A7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103.67</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0EFF17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102.83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0F84A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126.28</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0E61B2E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125.38</w:t>
            </w:r>
          </w:p>
        </w:tc>
      </w:tr>
      <w:tr w14:paraId="72DCF67D">
        <w:tblPrEx>
          <w:tblCellMar>
            <w:top w:w="0" w:type="dxa"/>
            <w:left w:w="0" w:type="dxa"/>
            <w:bottom w:w="0" w:type="dxa"/>
            <w:right w:w="0" w:type="dxa"/>
          </w:tblCellMar>
        </w:tblPrEx>
        <w:trPr>
          <w:trHeight w:val="460"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34190C6F">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投资活动净现金流量(2.1-2.2)</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3FFECBF3">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2CE30A03">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D03DBA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-6715.07</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80F335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-20684.93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A328DD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078522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2F3EB2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291C46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D27D5C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C419FB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C98262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3FBE89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21643E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B38532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ADAF5A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D0E021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D724B8D">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44C91FFD">
            <w:pPr>
              <w:spacing w:line="240" w:lineRule="auto"/>
              <w:ind w:firstLine="0" w:firstLineChars="0"/>
              <w:jc w:val="center"/>
              <w:rPr>
                <w:rFonts w:hint="eastAsia" w:cs="仿宋"/>
                <w:color w:val="auto"/>
                <w:sz w:val="14"/>
                <w:szCs w:val="14"/>
              </w:rPr>
            </w:pPr>
          </w:p>
        </w:tc>
      </w:tr>
      <w:tr w14:paraId="2018AD62">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21E9017D">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02EAD76E">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06574139">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C6DEC44">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00DE54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020C32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3EAC4F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094435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2E8AFE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3B22E4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5A72EF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9C0ADC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FD7065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71B95D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8504F9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C094E3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C09391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8E0F7C8">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698EA339">
            <w:pPr>
              <w:spacing w:line="240" w:lineRule="auto"/>
              <w:ind w:firstLine="0" w:firstLineChars="0"/>
              <w:jc w:val="center"/>
              <w:rPr>
                <w:rFonts w:hint="eastAsia" w:cs="仿宋"/>
                <w:color w:val="auto"/>
                <w:sz w:val="14"/>
                <w:szCs w:val="14"/>
              </w:rPr>
            </w:pPr>
          </w:p>
        </w:tc>
      </w:tr>
      <w:tr w14:paraId="0327A012">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6DC03CC0">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02E77BC7">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058435AC">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C0BB9B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6715.07</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28DF7A3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20684.93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610A2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5CFDA3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1F2DAC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CBFCE9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5668AC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9E7704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ECB282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2D09AF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7D5C90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8ED0F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4F3540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5EB17C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6FD51CB">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2F379A4F">
            <w:pPr>
              <w:spacing w:line="240" w:lineRule="auto"/>
              <w:ind w:firstLine="0" w:firstLineChars="0"/>
              <w:jc w:val="center"/>
              <w:rPr>
                <w:rFonts w:hint="eastAsia" w:cs="仿宋"/>
                <w:color w:val="auto"/>
                <w:sz w:val="14"/>
                <w:szCs w:val="14"/>
              </w:rPr>
            </w:pPr>
          </w:p>
        </w:tc>
      </w:tr>
      <w:tr w14:paraId="32A755FE">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22347E13">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建设投资</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52D566D6">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5FD6F89B">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50C3C7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6715.07</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179234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20684.93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4B70E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C36148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BF0A2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8F5B5D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54EB97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82F31A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590987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7356A3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73986A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4F0262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BF4DD2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BD49DA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6B0AE8A">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0324B7AF">
            <w:pPr>
              <w:spacing w:line="240" w:lineRule="auto"/>
              <w:ind w:firstLine="0" w:firstLineChars="0"/>
              <w:jc w:val="center"/>
              <w:rPr>
                <w:rFonts w:hint="eastAsia" w:cs="仿宋"/>
                <w:color w:val="auto"/>
                <w:sz w:val="14"/>
                <w:szCs w:val="14"/>
              </w:rPr>
            </w:pPr>
          </w:p>
        </w:tc>
      </w:tr>
      <w:tr w14:paraId="5A4DC1F1">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589ACB90">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维持运营投资</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45803F6F">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40E6348">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703B8D2">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4D606D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1D1229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F282B4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31146B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8D3BBE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DDCF89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138B68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7C0446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60BC1B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C141F3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AFF4E2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F6757E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AA462C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6E6408">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900446C">
            <w:pPr>
              <w:spacing w:line="240" w:lineRule="auto"/>
              <w:ind w:firstLine="0" w:firstLineChars="0"/>
              <w:jc w:val="center"/>
              <w:rPr>
                <w:rFonts w:hint="eastAsia" w:cs="仿宋"/>
                <w:color w:val="auto"/>
                <w:sz w:val="14"/>
                <w:szCs w:val="14"/>
              </w:rPr>
            </w:pPr>
          </w:p>
        </w:tc>
      </w:tr>
      <w:tr w14:paraId="38A26E76">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4162B2A">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流动资金</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1182EAB0">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672224D">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39ABEF0">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229BC44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CC6598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06623B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974940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8605A5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75939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ACE51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3DDBB9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732D1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996520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6D6B67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6236CE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815495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3AC22CC">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7DBF8D73">
            <w:pPr>
              <w:spacing w:line="240" w:lineRule="auto"/>
              <w:ind w:firstLine="0" w:firstLineChars="0"/>
              <w:jc w:val="center"/>
              <w:rPr>
                <w:rFonts w:hint="eastAsia" w:cs="仿宋"/>
                <w:color w:val="auto"/>
                <w:sz w:val="14"/>
                <w:szCs w:val="14"/>
              </w:rPr>
            </w:pPr>
          </w:p>
        </w:tc>
      </w:tr>
      <w:tr w14:paraId="0CF3D2F0">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4A747E1B">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7216B875">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CAF5ADC">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E3D9B97">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C86B87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75F611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1C30C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1882D7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044182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F5F4A6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5B596F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26DB49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5B5A81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4FDA29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154465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91B414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5A3700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A0D5100">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0BE9371C">
            <w:pPr>
              <w:spacing w:line="240" w:lineRule="auto"/>
              <w:ind w:firstLine="0" w:firstLineChars="0"/>
              <w:jc w:val="center"/>
              <w:rPr>
                <w:rFonts w:hint="eastAsia" w:cs="仿宋"/>
                <w:color w:val="auto"/>
                <w:sz w:val="14"/>
                <w:szCs w:val="14"/>
              </w:rPr>
            </w:pPr>
          </w:p>
        </w:tc>
      </w:tr>
      <w:tr w14:paraId="4468E5AF">
        <w:tblPrEx>
          <w:tblCellMar>
            <w:top w:w="0" w:type="dxa"/>
            <w:left w:w="0" w:type="dxa"/>
            <w:bottom w:w="0" w:type="dxa"/>
            <w:right w:w="0" w:type="dxa"/>
          </w:tblCellMar>
        </w:tblPrEx>
        <w:trPr>
          <w:trHeight w:val="735"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00F009A6">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筹资活动净现金流量(3.1-3.2)</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13AECB39">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33B6F9BD">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D97973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6715.07</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B903EF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20684.93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7CBFA6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7524F3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BB5FB0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6AF8C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5D7CD7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2F1B41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D96546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B30FE4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1971A2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CD2D40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F1E1C6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133F31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102374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5D0FDB9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r>
      <w:tr w14:paraId="663A9173">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074047A4">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4809029E">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1CB64F67">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910DA6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6715.07</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696FC1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20684.93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952601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83E1D3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1F48BC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DA3D46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1804E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17FEBA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3803D2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9B813E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5E0915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3452D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95B616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1B41E4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5F99728">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23289075">
            <w:pPr>
              <w:spacing w:line="240" w:lineRule="auto"/>
              <w:ind w:firstLine="0" w:firstLineChars="0"/>
              <w:jc w:val="center"/>
              <w:rPr>
                <w:rFonts w:hint="eastAsia" w:cs="仿宋"/>
                <w:color w:val="auto"/>
                <w:sz w:val="14"/>
                <w:szCs w:val="14"/>
              </w:rPr>
            </w:pPr>
          </w:p>
        </w:tc>
      </w:tr>
      <w:tr w14:paraId="2D6FE2A1">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6FEAC469">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项目资本金投入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1C7DF5F8">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2751EE75">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1000.00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D35BD4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2515.07</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61ABC85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10884.93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6310F7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32A1C1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185A25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EB1856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B5770D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4900F5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5A866E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880628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05131E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5F5639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1FA291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50728A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EAF6B95">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1ABF06AD">
            <w:pPr>
              <w:spacing w:line="240" w:lineRule="auto"/>
              <w:ind w:firstLine="0" w:firstLineChars="0"/>
              <w:jc w:val="center"/>
              <w:rPr>
                <w:rFonts w:hint="eastAsia" w:cs="仿宋"/>
                <w:color w:val="auto"/>
                <w:sz w:val="14"/>
                <w:szCs w:val="14"/>
              </w:rPr>
            </w:pPr>
          </w:p>
        </w:tc>
      </w:tr>
      <w:tr w14:paraId="53FB82DC">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385614C7">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建设投资借款</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5967EB69">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02BF022D">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4C32274">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D0DBF7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781F3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2523DC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817AE2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80682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C299A0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06FF4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E7BD64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FD938D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B65728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DE7A59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AC992E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215DFC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373ED9">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E72C4FA">
            <w:pPr>
              <w:spacing w:line="240" w:lineRule="auto"/>
              <w:ind w:firstLine="0" w:firstLineChars="0"/>
              <w:jc w:val="center"/>
              <w:rPr>
                <w:rFonts w:hint="eastAsia" w:cs="仿宋"/>
                <w:color w:val="auto"/>
                <w:sz w:val="14"/>
                <w:szCs w:val="14"/>
              </w:rPr>
            </w:pPr>
          </w:p>
        </w:tc>
      </w:tr>
      <w:tr w14:paraId="00ACD28B">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2D81C2B">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流动资金借款</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67BD8D30">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DDE561B">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59A4AB0">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0B30059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C53993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E2AD77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99827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82F07F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F5073E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7C411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5DAAC3C">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10E443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B5B408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6C7596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8BCB78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AD919E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5C3BE82">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71706A59">
            <w:pPr>
              <w:spacing w:line="240" w:lineRule="auto"/>
              <w:ind w:firstLine="0" w:firstLineChars="0"/>
              <w:jc w:val="center"/>
              <w:rPr>
                <w:rFonts w:hint="eastAsia" w:cs="仿宋"/>
                <w:color w:val="auto"/>
                <w:sz w:val="14"/>
                <w:szCs w:val="14"/>
              </w:rPr>
            </w:pPr>
          </w:p>
        </w:tc>
      </w:tr>
      <w:tr w14:paraId="0D57620A">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0115DBDE">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债券资金流入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3EA07E0F">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2E10E372">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8F25D6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4200.00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64F66C8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9800.00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CAF03C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320AF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7DAAB3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AE7843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EC8425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3A6EAC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58AFF5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0715A0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798BB8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96002B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354EEF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5F397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C2C60A0">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0D839E2A">
            <w:pPr>
              <w:spacing w:line="240" w:lineRule="auto"/>
              <w:ind w:firstLine="0" w:firstLineChars="0"/>
              <w:jc w:val="center"/>
              <w:rPr>
                <w:rFonts w:hint="eastAsia" w:cs="仿宋"/>
                <w:color w:val="auto"/>
                <w:sz w:val="14"/>
                <w:szCs w:val="14"/>
              </w:rPr>
            </w:pPr>
          </w:p>
        </w:tc>
      </w:tr>
      <w:tr w14:paraId="11D1C55B">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6C58D69F">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市场化融资流入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272E8C6C">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0.00</w:t>
            </w: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3FCDCC0C">
            <w:pPr>
              <w:widowControl/>
              <w:spacing w:line="240" w:lineRule="auto"/>
              <w:ind w:firstLine="0" w:firstLineChars="0"/>
              <w:jc w:val="center"/>
              <w:textAlignment w:val="center"/>
              <w:rPr>
                <w:rFonts w:hint="eastAsia" w:cs="仿宋"/>
                <w:color w:val="auto"/>
                <w:kern w:val="0"/>
                <w:sz w:val="14"/>
                <w:szCs w:val="14"/>
                <w:lang w:bidi="ar"/>
              </w:rPr>
            </w:pPr>
            <w:r>
              <w:rPr>
                <w:rFonts w:hint="eastAsia" w:cs="仿宋"/>
                <w:color w:val="auto"/>
                <w:kern w:val="0"/>
                <w:sz w:val="14"/>
                <w:szCs w:val="14"/>
                <w:lang w:bidi="ar"/>
              </w:rPr>
              <w:t>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519C6C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8EB484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541E93F">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C9DFAF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3B1B0D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2DA238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59138A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F370CE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DF6B02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BD12893">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20E902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3BC1E3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2E0618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50B26D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7DD6D3A">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04B43E96">
            <w:pPr>
              <w:spacing w:line="240" w:lineRule="auto"/>
              <w:ind w:firstLine="0" w:firstLineChars="0"/>
              <w:jc w:val="center"/>
              <w:rPr>
                <w:rFonts w:hint="eastAsia" w:cs="仿宋"/>
                <w:color w:val="auto"/>
                <w:sz w:val="14"/>
                <w:szCs w:val="14"/>
              </w:rPr>
            </w:pPr>
          </w:p>
        </w:tc>
      </w:tr>
      <w:tr w14:paraId="2D503019">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378CE4C3">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其他流入</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3330E93A">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76702E7C">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8B431C6">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3E653F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6301F2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2898C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37AC4C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7DB7A4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9EFD9C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182802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67B68B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76CA9F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EC23EA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E979A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3ED13B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919828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2B27B33">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642CFF6F">
            <w:pPr>
              <w:spacing w:line="240" w:lineRule="auto"/>
              <w:ind w:firstLine="0" w:firstLineChars="0"/>
              <w:jc w:val="center"/>
              <w:rPr>
                <w:rFonts w:hint="eastAsia" w:cs="仿宋"/>
                <w:color w:val="auto"/>
                <w:sz w:val="14"/>
                <w:szCs w:val="14"/>
              </w:rPr>
            </w:pPr>
          </w:p>
        </w:tc>
      </w:tr>
      <w:tr w14:paraId="2DD5BE46">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85202B3">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7D3E8223">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2137552">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1F88A754">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888018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4AE905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7E4820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45DC66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C9202B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87DF18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2A7AED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5EB766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52A106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9C4281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542F10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426020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129520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93D0EA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66678E9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r>
      <w:tr w14:paraId="15978EEB">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BF15C97">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各种利息支出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757A12E6">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6734001B">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0F50411">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62A9EE7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C2E59D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9389A2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B7F250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7BC93B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87B142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4C17CC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DDDB3B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D454FC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711366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A616D2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6A5598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069044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7D72A3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47C09F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r>
      <w:tr w14:paraId="2F38F6BF">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25291B4">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偿还债券本金流出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64AC9967">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4C85FDBA">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B63A555">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8CA82C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C07B80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F2CA78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F24F4D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7D09DB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93F3A4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9AB12CE">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2FD22F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433CF39">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2A1A7F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EB52B3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7477BDA">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C672DBD">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D5299CE">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54E34E20">
            <w:pPr>
              <w:spacing w:line="240" w:lineRule="auto"/>
              <w:ind w:firstLine="0" w:firstLineChars="0"/>
              <w:jc w:val="center"/>
              <w:rPr>
                <w:rFonts w:hint="eastAsia" w:cs="仿宋"/>
                <w:color w:val="auto"/>
                <w:sz w:val="14"/>
                <w:szCs w:val="14"/>
              </w:rPr>
            </w:pPr>
          </w:p>
        </w:tc>
      </w:tr>
      <w:tr w14:paraId="3AD8EA8F">
        <w:tblPrEx>
          <w:tblCellMar>
            <w:top w:w="0" w:type="dxa"/>
            <w:left w:w="0" w:type="dxa"/>
            <w:bottom w:w="0" w:type="dxa"/>
            <w:right w:w="0" w:type="dxa"/>
          </w:tblCellMar>
        </w:tblPrEx>
        <w:trPr>
          <w:trHeight w:val="500"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375EBE0D">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偿还市场化融资本金流出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48ADC932">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4E0C6026">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4BD17B9A">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3E7FAF1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36BFD2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0DAF90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B8FC50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58573D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BB97C4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5E0CD8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C3AE22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A01FD8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9671EE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41919B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1FCA29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3F5CF7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825284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487050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5B48EFEA">
        <w:tblPrEx>
          <w:tblCellMar>
            <w:top w:w="0" w:type="dxa"/>
            <w:left w:w="0" w:type="dxa"/>
            <w:bottom w:w="0" w:type="dxa"/>
            <w:right w:w="0" w:type="dxa"/>
          </w:tblCellMar>
        </w:tblPrEx>
        <w:trPr>
          <w:trHeight w:val="389"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2EAB43F2">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其他流出</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7B5A6624">
            <w:pPr>
              <w:spacing w:line="240" w:lineRule="auto"/>
              <w:ind w:firstLine="0" w:firstLineChars="0"/>
              <w:jc w:val="center"/>
              <w:rPr>
                <w:rFonts w:hint="eastAsia" w:cs="仿宋"/>
                <w:color w:val="auto"/>
                <w:sz w:val="14"/>
                <w:szCs w:val="14"/>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560D5B01">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59690CCE">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2E1D13B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C89A43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76D212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09CB857">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758DB24">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6DBBF88">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74F9AE0">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3F54E61">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4CCB24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BDF71B5">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619FD8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E1FF68B">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B41E572">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A0C3409">
            <w:pPr>
              <w:spacing w:line="240" w:lineRule="auto"/>
              <w:ind w:firstLine="0" w:firstLineChars="0"/>
              <w:jc w:val="center"/>
              <w:rPr>
                <w:rFonts w:hint="eastAsia" w:cs="仿宋"/>
                <w:color w:val="auto"/>
                <w:sz w:val="14"/>
                <w:szCs w:val="14"/>
              </w:rPr>
            </w:pP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1350D38">
            <w:pPr>
              <w:spacing w:line="240" w:lineRule="auto"/>
              <w:ind w:firstLine="0" w:firstLineChars="0"/>
              <w:jc w:val="center"/>
              <w:rPr>
                <w:rFonts w:hint="eastAsia" w:cs="仿宋"/>
                <w:color w:val="auto"/>
                <w:sz w:val="14"/>
                <w:szCs w:val="14"/>
              </w:rPr>
            </w:pPr>
          </w:p>
        </w:tc>
      </w:tr>
      <w:tr w14:paraId="50C6F0AD">
        <w:tblPrEx>
          <w:tblCellMar>
            <w:top w:w="0" w:type="dxa"/>
            <w:left w:w="0" w:type="dxa"/>
            <w:bottom w:w="0" w:type="dxa"/>
            <w:right w:w="0" w:type="dxa"/>
          </w:tblCellMar>
        </w:tblPrEx>
        <w:trPr>
          <w:trHeight w:val="735"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1828C44B">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净现金流量（1+2+3）</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6EFF3461">
            <w:pPr>
              <w:spacing w:line="240" w:lineRule="auto"/>
              <w:ind w:firstLine="0" w:firstLineChars="0"/>
              <w:jc w:val="center"/>
              <w:rPr>
                <w:rFonts w:hint="eastAsia" w:cs="仿宋"/>
                <w:color w:val="auto"/>
                <w:kern w:val="0"/>
                <w:sz w:val="14"/>
                <w:szCs w:val="14"/>
                <w:lang w:bidi="ar"/>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4F8963D9">
            <w:pPr>
              <w:spacing w:line="240" w:lineRule="auto"/>
              <w:ind w:firstLine="0" w:firstLineChars="0"/>
              <w:jc w:val="center"/>
              <w:rPr>
                <w:rFonts w:hint="eastAsia" w:cs="仿宋"/>
                <w:color w:val="auto"/>
                <w:kern w:val="0"/>
                <w:sz w:val="14"/>
                <w:szCs w:val="14"/>
                <w:lang w:bidi="ar"/>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64C86A59">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7A4D57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99DF6B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430.01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C0FC00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631.55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34585D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832.95</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D2C214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1008.73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106A0E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1113.10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46568EA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1110.29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01ABC8B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1111.31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63F7D0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1106.36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CAC550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1104.04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A45E19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1169.69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5EBB8E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1167.19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F21D42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1164.67</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FD4D2A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1235.04</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12A14B0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1232.32</w:t>
            </w:r>
          </w:p>
        </w:tc>
      </w:tr>
      <w:tr w14:paraId="08079E63">
        <w:tblPrEx>
          <w:tblCellMar>
            <w:top w:w="0" w:type="dxa"/>
            <w:left w:w="0" w:type="dxa"/>
            <w:bottom w:w="0" w:type="dxa"/>
            <w:right w:w="0" w:type="dxa"/>
          </w:tblCellMar>
        </w:tblPrEx>
        <w:trPr>
          <w:trHeight w:val="693" w:hRule="atLeast"/>
          <w:jc w:val="center"/>
        </w:trPr>
        <w:tc>
          <w:tcPr>
            <w:tcW w:w="724" w:type="pct"/>
            <w:tcBorders>
              <w:top w:val="single" w:color="000000" w:sz="4" w:space="0"/>
              <w:left w:val="single" w:color="000000" w:sz="4" w:space="0"/>
              <w:bottom w:val="single" w:color="000000" w:sz="4" w:space="0"/>
              <w:right w:val="single" w:color="000000" w:sz="4" w:space="0"/>
            </w:tcBorders>
            <w:vAlign w:val="center"/>
          </w:tcPr>
          <w:p w14:paraId="7B0C0718">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累计盈余资金</w:t>
            </w:r>
          </w:p>
        </w:tc>
        <w:tc>
          <w:tcPr>
            <w:tcW w:w="224" w:type="pct"/>
            <w:tcBorders>
              <w:top w:val="single" w:color="000000" w:sz="4" w:space="0"/>
              <w:left w:val="single" w:color="000000" w:sz="4" w:space="0"/>
              <w:bottom w:val="single" w:color="000000" w:sz="4" w:space="0"/>
              <w:right w:val="single" w:color="000000" w:sz="4" w:space="0"/>
            </w:tcBorders>
            <w:noWrap/>
            <w:vAlign w:val="center"/>
          </w:tcPr>
          <w:p w14:paraId="1779134A">
            <w:pPr>
              <w:spacing w:line="240" w:lineRule="auto"/>
              <w:ind w:firstLine="0" w:firstLineChars="0"/>
              <w:jc w:val="center"/>
              <w:rPr>
                <w:rFonts w:hint="eastAsia" w:cs="仿宋"/>
                <w:color w:val="auto"/>
                <w:kern w:val="0"/>
                <w:sz w:val="14"/>
                <w:szCs w:val="14"/>
                <w:lang w:bidi="ar"/>
              </w:rPr>
            </w:pPr>
          </w:p>
        </w:tc>
        <w:tc>
          <w:tcPr>
            <w:tcW w:w="205" w:type="pct"/>
            <w:tcBorders>
              <w:top w:val="single" w:color="000000" w:sz="4" w:space="0"/>
              <w:left w:val="single" w:color="000000" w:sz="4" w:space="0"/>
              <w:bottom w:val="single" w:color="000000" w:sz="4" w:space="0"/>
              <w:right w:val="single" w:color="000000" w:sz="4" w:space="0"/>
            </w:tcBorders>
            <w:noWrap/>
            <w:vAlign w:val="center"/>
          </w:tcPr>
          <w:p w14:paraId="1AE5C332">
            <w:pPr>
              <w:spacing w:line="240" w:lineRule="auto"/>
              <w:ind w:firstLine="0" w:firstLineChars="0"/>
              <w:jc w:val="center"/>
              <w:rPr>
                <w:rFonts w:hint="eastAsia" w:cs="仿宋"/>
                <w:color w:val="auto"/>
                <w:kern w:val="0"/>
                <w:sz w:val="14"/>
                <w:szCs w:val="14"/>
                <w:lang w:bidi="ar"/>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7B7E0950">
            <w:pPr>
              <w:spacing w:line="240" w:lineRule="auto"/>
              <w:ind w:firstLine="0" w:firstLineChars="0"/>
              <w:jc w:val="center"/>
              <w:rPr>
                <w:rFonts w:hint="eastAsia" w:cs="仿宋"/>
                <w:color w:val="auto"/>
                <w:sz w:val="14"/>
                <w:szCs w:val="14"/>
              </w:rPr>
            </w:pPr>
          </w:p>
        </w:tc>
        <w:tc>
          <w:tcPr>
            <w:tcW w:w="251" w:type="pct"/>
            <w:tcBorders>
              <w:top w:val="single" w:color="000000" w:sz="4" w:space="0"/>
              <w:left w:val="single" w:color="000000" w:sz="4" w:space="0"/>
              <w:bottom w:val="single" w:color="000000" w:sz="4" w:space="0"/>
              <w:right w:val="single" w:color="000000" w:sz="4" w:space="0"/>
            </w:tcBorders>
            <w:noWrap/>
            <w:vAlign w:val="center"/>
          </w:tcPr>
          <w:p w14:paraId="2D382C16">
            <w:pPr>
              <w:spacing w:line="240" w:lineRule="auto"/>
              <w:ind w:firstLine="0" w:firstLineChars="0"/>
              <w:jc w:val="center"/>
              <w:rPr>
                <w:rFonts w:hint="eastAsia" w:cs="仿宋"/>
                <w:color w:val="auto"/>
                <w:sz w:val="14"/>
                <w:szCs w:val="14"/>
              </w:rPr>
            </w:pP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F0022B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430.01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341388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1061.56</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82154C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1894.51</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51BF0F3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2903.24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9B6B90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4016.34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61E4D61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5126.63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2F567E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6237.94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3B9FC9F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7344.30</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C1388F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8448.34</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479E76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9618.03</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23AE866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10785.22</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7967C5A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11949.89</w:t>
            </w:r>
          </w:p>
        </w:tc>
        <w:tc>
          <w:tcPr>
            <w:tcW w:w="235" w:type="pct"/>
            <w:tcBorders>
              <w:top w:val="single" w:color="000000" w:sz="4" w:space="0"/>
              <w:left w:val="single" w:color="000000" w:sz="4" w:space="0"/>
              <w:bottom w:val="single" w:color="000000" w:sz="4" w:space="0"/>
              <w:right w:val="single" w:color="000000" w:sz="4" w:space="0"/>
            </w:tcBorders>
            <w:noWrap/>
            <w:vAlign w:val="center"/>
          </w:tcPr>
          <w:p w14:paraId="1D17AC5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13184.93</w:t>
            </w:r>
          </w:p>
        </w:tc>
        <w:tc>
          <w:tcPr>
            <w:tcW w:w="237" w:type="pct"/>
            <w:tcBorders>
              <w:top w:val="single" w:color="000000" w:sz="4" w:space="0"/>
              <w:left w:val="single" w:color="000000" w:sz="4" w:space="0"/>
              <w:bottom w:val="single" w:color="000000" w:sz="4" w:space="0"/>
              <w:right w:val="single" w:color="000000" w:sz="4" w:space="0"/>
            </w:tcBorders>
            <w:noWrap/>
            <w:vAlign w:val="center"/>
          </w:tcPr>
          <w:p w14:paraId="303BFA8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14417.25</w:t>
            </w:r>
          </w:p>
        </w:tc>
      </w:tr>
    </w:tbl>
    <w:p w14:paraId="2753E10E">
      <w:pPr>
        <w:spacing w:after="120"/>
        <w:ind w:firstLine="0" w:firstLineChars="0"/>
        <w:rPr>
          <w:rFonts w:hint="eastAsia"/>
          <w:color w:val="auto"/>
        </w:rPr>
      </w:pPr>
    </w:p>
    <w:p w14:paraId="57EDAC8D">
      <w:pPr>
        <w:spacing w:after="120"/>
        <w:ind w:firstLine="0" w:firstLineChars="0"/>
        <w:rPr>
          <w:rFonts w:hint="eastAsia" w:ascii="仿宋" w:hAnsi="仿宋" w:cs="宋体"/>
          <w:color w:val="auto"/>
        </w:rPr>
      </w:pPr>
      <w:r>
        <w:rPr>
          <w:rFonts w:hint="eastAsia"/>
          <w:color w:val="auto"/>
        </w:rPr>
        <w:t>续表</w:t>
      </w:r>
      <w:r>
        <w:rPr>
          <w:rFonts w:hint="eastAsia" w:ascii="仿宋" w:hAnsi="仿宋" w:cs="宋体"/>
          <w:color w:val="auto"/>
        </w:rPr>
        <w:t>：</w:t>
      </w:r>
    </w:p>
    <w:p w14:paraId="54018E97">
      <w:pPr>
        <w:ind w:firstLine="480"/>
        <w:rPr>
          <w:rFonts w:hint="eastAsia" w:cs="仿宋"/>
          <w:color w:val="auto"/>
        </w:rPr>
      </w:pPr>
    </w:p>
    <w:tbl>
      <w:tblPr>
        <w:tblStyle w:val="26"/>
        <w:tblW w:w="14657" w:type="dxa"/>
        <w:jc w:val="center"/>
        <w:tblLayout w:type="autofit"/>
        <w:tblCellMar>
          <w:top w:w="0" w:type="dxa"/>
          <w:left w:w="0" w:type="dxa"/>
          <w:bottom w:w="0" w:type="dxa"/>
          <w:right w:w="0" w:type="dxa"/>
        </w:tblCellMar>
      </w:tblPr>
      <w:tblGrid>
        <w:gridCol w:w="1291"/>
        <w:gridCol w:w="815"/>
        <w:gridCol w:w="815"/>
        <w:gridCol w:w="815"/>
        <w:gridCol w:w="815"/>
        <w:gridCol w:w="815"/>
        <w:gridCol w:w="815"/>
        <w:gridCol w:w="815"/>
        <w:gridCol w:w="815"/>
        <w:gridCol w:w="815"/>
        <w:gridCol w:w="815"/>
        <w:gridCol w:w="815"/>
        <w:gridCol w:w="815"/>
        <w:gridCol w:w="815"/>
        <w:gridCol w:w="915"/>
        <w:gridCol w:w="916"/>
        <w:gridCol w:w="940"/>
      </w:tblGrid>
      <w:tr w14:paraId="57B61CA0">
        <w:tblPrEx>
          <w:tblCellMar>
            <w:top w:w="0" w:type="dxa"/>
            <w:left w:w="0" w:type="dxa"/>
            <w:bottom w:w="0" w:type="dxa"/>
            <w:right w:w="0" w:type="dxa"/>
          </w:tblCellMar>
        </w:tblPrEx>
        <w:trPr>
          <w:trHeight w:val="365" w:hRule="atLeast"/>
          <w:jc w:val="center"/>
        </w:trPr>
        <w:tc>
          <w:tcPr>
            <w:tcW w:w="1291" w:type="dxa"/>
            <w:vMerge w:val="restart"/>
            <w:tcBorders>
              <w:top w:val="single" w:color="000000" w:sz="4" w:space="0"/>
              <w:left w:val="single" w:color="000000" w:sz="4" w:space="0"/>
              <w:bottom w:val="single" w:color="000000" w:sz="4" w:space="0"/>
              <w:right w:val="single" w:color="000000" w:sz="4" w:space="0"/>
            </w:tcBorders>
            <w:vAlign w:val="center"/>
          </w:tcPr>
          <w:p w14:paraId="5AC809E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项目</w:t>
            </w:r>
          </w:p>
        </w:tc>
        <w:tc>
          <w:tcPr>
            <w:tcW w:w="12426" w:type="dxa"/>
            <w:gridSpan w:val="15"/>
            <w:tcBorders>
              <w:top w:val="single" w:color="000000" w:sz="4" w:space="0"/>
              <w:left w:val="single" w:color="000000" w:sz="4" w:space="0"/>
              <w:bottom w:val="single" w:color="000000" w:sz="4" w:space="0"/>
              <w:right w:val="single" w:color="000000" w:sz="4" w:space="0"/>
            </w:tcBorders>
            <w:noWrap/>
            <w:vAlign w:val="center"/>
          </w:tcPr>
          <w:p w14:paraId="472FBA1B">
            <w:pPr>
              <w:spacing w:line="240" w:lineRule="auto"/>
              <w:ind w:firstLine="0" w:firstLineChars="0"/>
              <w:jc w:val="center"/>
              <w:rPr>
                <w:rFonts w:hint="eastAsia" w:cs="仿宋"/>
                <w:color w:val="auto"/>
                <w:sz w:val="14"/>
                <w:szCs w:val="14"/>
              </w:rPr>
            </w:pPr>
            <w:r>
              <w:rPr>
                <w:rFonts w:hint="eastAsia" w:cs="仿宋"/>
                <w:color w:val="auto"/>
                <w:kern w:val="0"/>
                <w:sz w:val="14"/>
                <w:szCs w:val="14"/>
                <w:lang w:bidi="ar"/>
              </w:rPr>
              <w:t>运营期（年）</w:t>
            </w:r>
          </w:p>
        </w:tc>
        <w:tc>
          <w:tcPr>
            <w:tcW w:w="940" w:type="dxa"/>
            <w:vMerge w:val="restart"/>
            <w:tcBorders>
              <w:top w:val="single" w:color="000000" w:sz="4" w:space="0"/>
              <w:left w:val="single" w:color="000000" w:sz="4" w:space="0"/>
              <w:bottom w:val="single" w:color="000000" w:sz="4" w:space="0"/>
              <w:right w:val="single" w:color="000000" w:sz="4" w:space="0"/>
            </w:tcBorders>
            <w:noWrap/>
            <w:vAlign w:val="center"/>
          </w:tcPr>
          <w:p w14:paraId="0D036E9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合计</w:t>
            </w:r>
          </w:p>
        </w:tc>
      </w:tr>
      <w:tr w14:paraId="6987CB22">
        <w:tblPrEx>
          <w:tblCellMar>
            <w:top w:w="0" w:type="dxa"/>
            <w:left w:w="0" w:type="dxa"/>
            <w:bottom w:w="0" w:type="dxa"/>
            <w:right w:w="0" w:type="dxa"/>
          </w:tblCellMar>
        </w:tblPrEx>
        <w:trPr>
          <w:trHeight w:val="365" w:hRule="atLeast"/>
          <w:jc w:val="center"/>
        </w:trPr>
        <w:tc>
          <w:tcPr>
            <w:tcW w:w="1291" w:type="dxa"/>
            <w:vMerge w:val="continue"/>
            <w:tcBorders>
              <w:top w:val="single" w:color="000000" w:sz="4" w:space="0"/>
              <w:left w:val="single" w:color="000000" w:sz="4" w:space="0"/>
              <w:bottom w:val="single" w:color="000000" w:sz="4" w:space="0"/>
              <w:right w:val="single" w:color="000000" w:sz="4" w:space="0"/>
            </w:tcBorders>
            <w:vAlign w:val="center"/>
          </w:tcPr>
          <w:p w14:paraId="0074FF7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378594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B06FB9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5EE0D8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88900F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AF66A7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A5FC25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6AFF67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78E680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D38BA1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448DCE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A4E5E4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B82DE7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69E83C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A325AB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68CFB84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w:t>
            </w:r>
          </w:p>
        </w:tc>
        <w:tc>
          <w:tcPr>
            <w:tcW w:w="940" w:type="dxa"/>
            <w:vMerge w:val="continue"/>
            <w:tcBorders>
              <w:top w:val="single" w:color="000000" w:sz="4" w:space="0"/>
              <w:left w:val="single" w:color="000000" w:sz="4" w:space="0"/>
              <w:bottom w:val="single" w:color="000000" w:sz="4" w:space="0"/>
              <w:right w:val="single" w:color="000000" w:sz="4" w:space="0"/>
            </w:tcBorders>
            <w:noWrap/>
            <w:vAlign w:val="center"/>
          </w:tcPr>
          <w:p w14:paraId="03DDA822">
            <w:pPr>
              <w:spacing w:line="240" w:lineRule="auto"/>
              <w:ind w:firstLine="0" w:firstLineChars="0"/>
              <w:jc w:val="center"/>
              <w:rPr>
                <w:rFonts w:hint="eastAsia" w:cs="仿宋"/>
                <w:color w:val="auto"/>
                <w:sz w:val="14"/>
                <w:szCs w:val="14"/>
              </w:rPr>
            </w:pPr>
          </w:p>
        </w:tc>
      </w:tr>
      <w:tr w14:paraId="45C683C5">
        <w:tblPrEx>
          <w:tblCellMar>
            <w:top w:w="0" w:type="dxa"/>
            <w:left w:w="0" w:type="dxa"/>
            <w:bottom w:w="0" w:type="dxa"/>
            <w:right w:w="0" w:type="dxa"/>
          </w:tblCellMar>
        </w:tblPrEx>
        <w:trPr>
          <w:trHeight w:val="1053"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1988CCB1">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经营活动净现金流量（1.1-1.2）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021670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1705.59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C79A73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1779.69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210F3F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1776.76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F6C6F1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1773.73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DEFE60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1852.45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7589EB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1674.88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DCDBC3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1650.35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8B9FC0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1723.93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207141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1720.37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49A143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1716.71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60555D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1789.16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5BC1D1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1785.28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CB49D0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1781.31</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7F7D1D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1858.76</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4939A12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1818.87</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42E77D8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47489.09</w:t>
            </w:r>
          </w:p>
        </w:tc>
      </w:tr>
      <w:tr w14:paraId="61F830F5">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6BBA0876">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E3864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2556.96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5A37C4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2684.54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BE2AC5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2684.54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1FB7B6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2684.54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7BABFF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2818.90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262550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2818.90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63894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2818.90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297914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2960.05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BAC90F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2960.05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641C3C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2960.05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400425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3107.99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8FD10E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3107.99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F7DD12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3107.99</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8CD5BD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3264.07</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694A554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3264.07</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63B6416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74743.14</w:t>
            </w:r>
          </w:p>
        </w:tc>
      </w:tr>
      <w:tr w14:paraId="0D530913">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097B22B7">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营业收入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3EF75A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2556.96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482A50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2684.54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3029B7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2684.54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61329D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2684.54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387EA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2818.90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60E32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2818.90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1F7385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2818.90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43A48E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2960.05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B0B050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2960.05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0CCD23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2960.05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A90E0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3107.99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C8CD78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3107.99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235F2F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3107.99</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5AB7F20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3264.07</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5DCC1A9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3264.07</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7A258B0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74743.14</w:t>
            </w:r>
          </w:p>
        </w:tc>
      </w:tr>
      <w:tr w14:paraId="1A2B7921">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458FD1AE">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补贴收入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96BC76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6CD369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9B45B4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71FA35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CB136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0B54B5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617FD2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56C17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849C4D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110F2E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24435E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DD3D30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25388B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59B1824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09E0439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7B8E38F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1A883D20">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10D298F8">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A431B7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B82697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515F3F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63C576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3F268C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5AB84D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015374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F6779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256725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96D139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895C3E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48A31C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4A4F24B">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6EFEDE8">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3D869BC6">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7012C12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7957D3BC">
        <w:tblPrEx>
          <w:tblCellMar>
            <w:top w:w="0" w:type="dxa"/>
            <w:left w:w="0" w:type="dxa"/>
            <w:bottom w:w="0" w:type="dxa"/>
            <w:right w:w="0" w:type="dxa"/>
          </w:tblCellMar>
        </w:tblPrEx>
        <w:trPr>
          <w:trHeight w:val="417"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79DAD31">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70A365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851.37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DD2DC0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904.85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D4EE1B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907.78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635EAA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910.81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D787D2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966.45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2665BF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1144.02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BE31D6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1168.55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2EC9A6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1236.12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9EBC65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1239.68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525EE6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1243.34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B379F4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1318.83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FE5AFD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1322.71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998D26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1326.68</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6CBC15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1405.31</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1C3C70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1445.20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6EB6E40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27254.05</w:t>
            </w:r>
          </w:p>
        </w:tc>
      </w:tr>
      <w:tr w14:paraId="2CF093AB">
        <w:tblPrEx>
          <w:tblCellMar>
            <w:top w:w="0" w:type="dxa"/>
            <w:left w:w="0" w:type="dxa"/>
            <w:bottom w:w="0" w:type="dxa"/>
            <w:right w:w="0" w:type="dxa"/>
          </w:tblCellMar>
        </w:tblPrEx>
        <w:trPr>
          <w:trHeight w:val="417"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3962CDCE">
            <w:pPr>
              <w:widowControl/>
              <w:spacing w:line="240" w:lineRule="auto"/>
              <w:ind w:firstLine="0" w:firstLineChars="0"/>
              <w:textAlignment w:val="center"/>
              <w:rPr>
                <w:rFonts w:hint="eastAsia" w:cs="仿宋"/>
                <w:color w:val="auto"/>
                <w:sz w:val="14"/>
                <w:szCs w:val="14"/>
              </w:rPr>
            </w:pPr>
            <w:r>
              <w:rPr>
                <w:rFonts w:hint="eastAsia" w:cs="仿宋"/>
                <w:color w:val="auto"/>
                <w:kern w:val="0"/>
                <w:sz w:val="14"/>
                <w:szCs w:val="14"/>
                <w:lang w:bidi="ar"/>
              </w:rPr>
              <w:t>经营成本</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E7E311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726.91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2D8C8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755.68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075F79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759.59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8A7DA5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763.63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70BCF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793.03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20EE6F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797.36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0C050C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801.82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E7A61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831.80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DDC1C0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836.55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02CCD4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841.43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CB08B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879.10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1AF12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884.27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5A1813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889.57</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FE6E8F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927.93</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884C26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933.52</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822750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21474.37</w:t>
            </w:r>
          </w:p>
        </w:tc>
      </w:tr>
      <w:tr w14:paraId="3410AB26">
        <w:tblPrEx>
          <w:tblCellMar>
            <w:top w:w="0" w:type="dxa"/>
            <w:left w:w="0" w:type="dxa"/>
            <w:bottom w:w="0" w:type="dxa"/>
            <w:right w:w="0" w:type="dxa"/>
          </w:tblCellMar>
        </w:tblPrEx>
        <w:trPr>
          <w:trHeight w:val="417"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245DBFD8">
            <w:pPr>
              <w:widowControl/>
              <w:spacing w:line="240" w:lineRule="auto"/>
              <w:ind w:firstLine="0" w:firstLineChars="0"/>
              <w:textAlignment w:val="center"/>
              <w:rPr>
                <w:rFonts w:hint="eastAsia" w:cs="仿宋"/>
                <w:color w:val="auto"/>
                <w:sz w:val="14"/>
                <w:szCs w:val="14"/>
              </w:rPr>
            </w:pPr>
            <w:r>
              <w:rPr>
                <w:rFonts w:hint="eastAsia" w:cs="仿宋"/>
                <w:color w:val="auto"/>
                <w:kern w:val="0"/>
                <w:sz w:val="14"/>
                <w:szCs w:val="14"/>
                <w:lang w:bidi="ar"/>
              </w:rPr>
              <w:t>税金及附加</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B95883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296F85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4C256C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E88189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6241BD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24CEFC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232.43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C979BF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260.68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47BB3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273.74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DE6B87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273.74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73FE57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273.74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9536C5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287.41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06FF21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287.41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1A8185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287.41</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8BA278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301.86</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488B5E2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301.86</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25A7DE8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2780.28</w:t>
            </w:r>
          </w:p>
        </w:tc>
      </w:tr>
      <w:tr w14:paraId="290B2F1D">
        <w:tblPrEx>
          <w:tblCellMar>
            <w:top w:w="0" w:type="dxa"/>
            <w:left w:w="0" w:type="dxa"/>
            <w:bottom w:w="0" w:type="dxa"/>
            <w:right w:w="0" w:type="dxa"/>
          </w:tblCellMar>
        </w:tblPrEx>
        <w:trPr>
          <w:trHeight w:val="417"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E829CEE">
            <w:pPr>
              <w:widowControl/>
              <w:spacing w:line="240" w:lineRule="auto"/>
              <w:ind w:firstLine="0" w:firstLineChars="0"/>
              <w:textAlignment w:val="center"/>
              <w:rPr>
                <w:rFonts w:hint="eastAsia" w:cs="仿宋"/>
                <w:color w:val="auto"/>
                <w:sz w:val="14"/>
                <w:szCs w:val="14"/>
              </w:rPr>
            </w:pPr>
            <w:r>
              <w:rPr>
                <w:rFonts w:hint="eastAsia" w:cs="仿宋"/>
                <w:color w:val="auto"/>
                <w:kern w:val="0"/>
                <w:sz w:val="14"/>
                <w:szCs w:val="14"/>
                <w:lang w:bidi="ar"/>
              </w:rPr>
              <w:t>所得税</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CB454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124.46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82DA78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149.17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8003A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148.19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C1957A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147.18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34401F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173.42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30C8DA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114.23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A3954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106.05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5A3234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130.58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E8C59B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129.39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959B66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128.17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B7D58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152.32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488624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151.03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F2F38E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149.70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1A6BA1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175.52</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743E5CA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209.82</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17761B8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2999.40</w:t>
            </w:r>
          </w:p>
        </w:tc>
      </w:tr>
      <w:tr w14:paraId="46422F49">
        <w:tblPrEx>
          <w:tblCellMar>
            <w:top w:w="0" w:type="dxa"/>
            <w:left w:w="0" w:type="dxa"/>
            <w:bottom w:w="0" w:type="dxa"/>
            <w:right w:w="0" w:type="dxa"/>
          </w:tblCellMar>
        </w:tblPrEx>
        <w:trPr>
          <w:trHeight w:val="1053"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2D1B24EF">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投资活动净现金流量(2.1-2.2)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5649D8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FCCA9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FF4EEA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2754B6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D9644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6E835A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55E52C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E9A8EB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619D9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DE813B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B48DCC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54A5F7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13E03CC">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324643B">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7625EAF8">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27B42D7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-29400.00</w:t>
            </w:r>
          </w:p>
        </w:tc>
      </w:tr>
      <w:tr w14:paraId="3EF531DB">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41CEEAA">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4FCE63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18D2E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460AD1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BDDCAE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6BF22C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DA5A16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62EC5D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B688A8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496D9B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A2C4E8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0CD583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0BE71F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527538C">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0BCDF87">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8D80454">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22ACC8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45EBE837">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5F867E18">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A03FE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FC04AF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08116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91C24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9D676C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96B20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73900F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0E82F0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661B54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D7531E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4091A9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4E670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6D44726">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8BA4628">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4D226611">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3BB2657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29400.00</w:t>
            </w:r>
          </w:p>
        </w:tc>
      </w:tr>
      <w:tr w14:paraId="0900CA72">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0638593B">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建设投资</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AC3D85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64F6C6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FFD98D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EDDFEA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57FE2A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626F62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BE666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66B394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A81847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5C3354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CE098A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F4DE64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8761C5">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6BE9CB5">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98E92F0">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5DA7CA1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29400.00</w:t>
            </w:r>
          </w:p>
        </w:tc>
      </w:tr>
      <w:tr w14:paraId="09D3CE85">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E633514">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维持运营投资</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EF82CE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1DFCF2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21B8D6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60B4CC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A8E45C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173C4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96F717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360B2C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FB7604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8F4369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BDE1EC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350C5A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CBAE145">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860F2DB">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0A51666C">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6FD2ECD0">
            <w:pPr>
              <w:spacing w:line="240" w:lineRule="auto"/>
              <w:ind w:firstLine="0" w:firstLineChars="0"/>
              <w:jc w:val="center"/>
              <w:rPr>
                <w:rFonts w:hint="eastAsia" w:cs="仿宋"/>
                <w:color w:val="auto"/>
                <w:sz w:val="14"/>
                <w:szCs w:val="14"/>
              </w:rPr>
            </w:pPr>
          </w:p>
        </w:tc>
      </w:tr>
      <w:tr w14:paraId="6DFE6F90">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1DA6679C">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流动资金</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3E1945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00521E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FF17EC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E9910B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237C3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961699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91C28B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528EC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23C5F2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1A51F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9C7A74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B6854B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C878E43">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7694B46">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D799958">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2CFC8170">
            <w:pPr>
              <w:spacing w:line="240" w:lineRule="auto"/>
              <w:ind w:firstLine="0" w:firstLineChars="0"/>
              <w:jc w:val="center"/>
              <w:rPr>
                <w:rFonts w:hint="eastAsia" w:cs="仿宋"/>
                <w:color w:val="auto"/>
                <w:sz w:val="14"/>
                <w:szCs w:val="14"/>
              </w:rPr>
            </w:pPr>
          </w:p>
        </w:tc>
      </w:tr>
      <w:tr w14:paraId="198FA8EA">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550AEB43">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EF03E3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19055E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93CF53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297CE1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4CB2E6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1BFEAF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A55BB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4BB995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BF5E0F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2C3449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2AE97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4B2BD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BDD6DA9">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8C4B9B9">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4E15B311">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31836A3E">
            <w:pPr>
              <w:spacing w:line="240" w:lineRule="auto"/>
              <w:ind w:firstLine="0" w:firstLineChars="0"/>
              <w:jc w:val="center"/>
              <w:rPr>
                <w:rFonts w:hint="eastAsia" w:cs="仿宋"/>
                <w:color w:val="auto"/>
                <w:sz w:val="14"/>
                <w:szCs w:val="14"/>
              </w:rPr>
            </w:pPr>
          </w:p>
        </w:tc>
      </w:tr>
      <w:tr w14:paraId="09A16CCC">
        <w:tblPrEx>
          <w:tblCellMar>
            <w:top w:w="0" w:type="dxa"/>
            <w:left w:w="0" w:type="dxa"/>
            <w:bottom w:w="0" w:type="dxa"/>
            <w:right w:w="0" w:type="dxa"/>
          </w:tblCellMar>
        </w:tblPrEx>
        <w:trPr>
          <w:trHeight w:val="651"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374FCB10">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筹资活动净现金流量(3.1-3.2)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B2DE52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ABDCA4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E07262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35027F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1B3C7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0EAE75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EB8B23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E9AC79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2E8E31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B5D02B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3EB93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3555C5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CC5114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F34EB8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-4676.00</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1C3C418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-10133.20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4EAACDA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1738.80</w:t>
            </w:r>
          </w:p>
        </w:tc>
      </w:tr>
      <w:tr w14:paraId="3BEA9A2E">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10D786C2">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759803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99941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1D3918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8280B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58FFD4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FF4C47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C21049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9BA9B2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6E00AA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C0490F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63927E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9BD4F5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E98B44F">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734A2B77">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7F725C4D">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614C01B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29400.00</w:t>
            </w:r>
          </w:p>
        </w:tc>
      </w:tr>
      <w:tr w14:paraId="18E5DFCF">
        <w:tblPrEx>
          <w:tblCellMar>
            <w:top w:w="0" w:type="dxa"/>
            <w:left w:w="0" w:type="dxa"/>
            <w:bottom w:w="0" w:type="dxa"/>
            <w:right w:w="0" w:type="dxa"/>
          </w:tblCellMar>
        </w:tblPrEx>
        <w:trPr>
          <w:trHeight w:val="708"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3229A23D">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项目资本金投入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241DB9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392437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D32FFA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885945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79880B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08E751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42F15A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D5E6BE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5F4F2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56C156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E7F18B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E50D8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A460D61">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5C7C0167">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1C4EAAFB">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11021B8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15400.00</w:t>
            </w:r>
          </w:p>
        </w:tc>
      </w:tr>
      <w:tr w14:paraId="43136CDC">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45C7C7AA">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建设投资借款</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C4398D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84ACF3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8FC2E6D">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D8DBCF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97913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EAA04D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B89094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33663E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8A27C3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C841CC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350CD1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DD9D50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8CE8BA5">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6CFF675">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332EC537">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2450993D">
            <w:pPr>
              <w:spacing w:line="240" w:lineRule="auto"/>
              <w:ind w:firstLine="0" w:firstLineChars="0"/>
              <w:jc w:val="center"/>
              <w:rPr>
                <w:rFonts w:hint="eastAsia" w:cs="仿宋"/>
                <w:color w:val="auto"/>
                <w:sz w:val="14"/>
                <w:szCs w:val="14"/>
              </w:rPr>
            </w:pPr>
          </w:p>
        </w:tc>
      </w:tr>
      <w:tr w14:paraId="7B530E9F">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5B441A7F">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流动资金借款</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EB96D8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AABA36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5A81AE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D1C04A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6EA54B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6C04A6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9F3BA3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63BDDE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1BC751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E466C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647599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46229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FAA0865">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910E91A">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8CB5F31">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1D0F9EFD">
            <w:pPr>
              <w:spacing w:line="240" w:lineRule="auto"/>
              <w:ind w:firstLine="0" w:firstLineChars="0"/>
              <w:jc w:val="center"/>
              <w:rPr>
                <w:rFonts w:hint="eastAsia" w:cs="仿宋"/>
                <w:color w:val="auto"/>
                <w:sz w:val="14"/>
                <w:szCs w:val="14"/>
              </w:rPr>
            </w:pPr>
          </w:p>
        </w:tc>
      </w:tr>
      <w:tr w14:paraId="06565916">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3C64EB3D">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债券资金流入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6A1583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6C1A2F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D9518D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BE7FFB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E49440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BC39DC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87CD7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6E1BAE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CCBE8A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A8A26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6A7C6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D32ECA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5ADCB43">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75BA833">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525084B8">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760058A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14000.00</w:t>
            </w:r>
          </w:p>
        </w:tc>
      </w:tr>
      <w:tr w14:paraId="44579D32">
        <w:tblPrEx>
          <w:tblCellMar>
            <w:top w:w="0" w:type="dxa"/>
            <w:left w:w="0" w:type="dxa"/>
            <w:bottom w:w="0" w:type="dxa"/>
            <w:right w:w="0" w:type="dxa"/>
          </w:tblCellMar>
        </w:tblPrEx>
        <w:trPr>
          <w:trHeight w:val="529"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39A4670D">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市场化融资流入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12313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BF60BF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936544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44D100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B6D82C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33F3E7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C4C7F8B">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DC604A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0ADA95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145BE8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BAA1D2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82E17AC">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B4EF08A">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E6E8372">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20B597CA">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718CDF1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3E321E7B">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0365C34">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其他流入</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07C3D4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948FAC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FCA9B7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ABAC38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9ECCF3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CD64666">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357939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C5EE3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15045B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903F5E">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BDC05F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2DCB94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8BBD021">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82C297A">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413FFC98">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4ECA33CD">
            <w:pPr>
              <w:spacing w:line="240" w:lineRule="auto"/>
              <w:ind w:firstLine="0" w:firstLineChars="0"/>
              <w:jc w:val="center"/>
              <w:rPr>
                <w:rFonts w:hint="eastAsia" w:cs="仿宋"/>
                <w:color w:val="auto"/>
                <w:sz w:val="14"/>
                <w:szCs w:val="14"/>
              </w:rPr>
            </w:pPr>
          </w:p>
        </w:tc>
      </w:tr>
      <w:tr w14:paraId="5FFCAF4B">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23C83AD0">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现金流出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385072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16FD82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AC4357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4442C9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6704BB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D158CA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EC21FC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84A4D8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58D9A1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45C96C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F1236C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CB3C6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7D89D9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7C22C52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4676.00</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5CF3644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10133.20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05BE21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27661.20</w:t>
            </w:r>
          </w:p>
        </w:tc>
      </w:tr>
      <w:tr w14:paraId="0855A6B0">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BDDB985">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各种利息支出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423136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0AC72C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2BCB2D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C24799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E59F0F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B7D694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53BA75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C8EE44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0D882C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D1E30B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A3E975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E40E8C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B2F040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5B9F29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476.00</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099D066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333.20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680AFB4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13661.20</w:t>
            </w:r>
          </w:p>
        </w:tc>
      </w:tr>
      <w:tr w14:paraId="27116E7A">
        <w:tblPrEx>
          <w:tblCellMar>
            <w:top w:w="0" w:type="dxa"/>
            <w:left w:w="0" w:type="dxa"/>
            <w:bottom w:w="0" w:type="dxa"/>
            <w:right w:w="0" w:type="dxa"/>
          </w:tblCellMar>
        </w:tblPrEx>
        <w:trPr>
          <w:trHeight w:val="708"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58E858A5">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偿还债券本金流出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49DA04F">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E1BE5E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F4F4AF2">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FFB0E1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D57681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D40D999">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BE8B8F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A0CDBA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A52B20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18406F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0BFE75">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42DA85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6A009A5">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49EB1F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4200.00</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171E455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9800.00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7F56268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14000.00</w:t>
            </w:r>
          </w:p>
        </w:tc>
      </w:tr>
      <w:tr w14:paraId="5265A867">
        <w:tblPrEx>
          <w:tblCellMar>
            <w:top w:w="0" w:type="dxa"/>
            <w:left w:w="0" w:type="dxa"/>
            <w:bottom w:w="0" w:type="dxa"/>
            <w:right w:w="0" w:type="dxa"/>
          </w:tblCellMar>
        </w:tblPrEx>
        <w:trPr>
          <w:trHeight w:val="708"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62C7F8FD">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偿还市场化融资本金流出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CA7E45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FF0B78D">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0BE680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AA8DA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09B5E1">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C93742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FDB8F9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51FD5F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1603D3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4197B0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092057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CE8E0C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D04FD6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37A259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400115A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4A894E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5167336B">
        <w:tblPrEx>
          <w:tblCellMar>
            <w:top w:w="0" w:type="dxa"/>
            <w:left w:w="0" w:type="dxa"/>
            <w:bottom w:w="0" w:type="dxa"/>
            <w:right w:w="0" w:type="dxa"/>
          </w:tblCellMar>
        </w:tblPrEx>
        <w:trPr>
          <w:trHeight w:val="365"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20FA57A1">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其他流出</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F0077A8">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0FFB3C6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449032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009B5F1">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F95DE2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37864E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C3802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31845CA">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53A2654">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2DD5D73">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156E537">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DA419B0">
            <w:pPr>
              <w:spacing w:line="240" w:lineRule="auto"/>
              <w:ind w:firstLine="0" w:firstLineChars="0"/>
              <w:jc w:val="center"/>
              <w:rPr>
                <w:rFonts w:hint="eastAsia" w:cs="仿宋"/>
                <w:color w:val="auto"/>
                <w:sz w:val="14"/>
                <w:szCs w:val="14"/>
              </w:rPr>
            </w:pP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B7A634F">
            <w:pPr>
              <w:spacing w:line="240" w:lineRule="auto"/>
              <w:ind w:firstLine="0" w:firstLineChars="0"/>
              <w:jc w:val="center"/>
              <w:rPr>
                <w:rFonts w:hint="eastAsia" w:cs="仿宋"/>
                <w:color w:val="auto"/>
                <w:sz w:val="14"/>
                <w:szCs w:val="14"/>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1409688">
            <w:pPr>
              <w:spacing w:line="240" w:lineRule="auto"/>
              <w:ind w:firstLine="0" w:firstLineChars="0"/>
              <w:jc w:val="center"/>
              <w:rPr>
                <w:rFonts w:hint="eastAsia" w:cs="仿宋"/>
                <w:color w:val="auto"/>
                <w:sz w:val="14"/>
                <w:szCs w:val="14"/>
              </w:rPr>
            </w:pP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75DBA829">
            <w:pPr>
              <w:spacing w:line="240" w:lineRule="auto"/>
              <w:ind w:firstLine="0" w:firstLineChars="0"/>
              <w:jc w:val="center"/>
              <w:rPr>
                <w:rFonts w:hint="eastAsia" w:cs="仿宋"/>
                <w:color w:val="auto"/>
                <w:sz w:val="14"/>
                <w:szCs w:val="14"/>
              </w:rPr>
            </w:pP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6CF150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0.00</w:t>
            </w:r>
          </w:p>
        </w:tc>
      </w:tr>
      <w:tr w14:paraId="4480A79F">
        <w:tblPrEx>
          <w:tblCellMar>
            <w:top w:w="0" w:type="dxa"/>
            <w:left w:w="0" w:type="dxa"/>
            <w:bottom w:w="0" w:type="dxa"/>
            <w:right w:w="0" w:type="dxa"/>
          </w:tblCellMar>
        </w:tblPrEx>
        <w:trPr>
          <w:trHeight w:val="708"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7F2C6356">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净现金流量（1+2+3）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4EBE7C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1229.59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927C22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1303.69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54FBACB">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1300.76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EBDBDD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1297.73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02793A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1376.45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958454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1198.88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65DBC7">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1174.35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0AD433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1247.93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F8CB0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1244.37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092C0C3">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1240.71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38F9C92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1313.16</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1A71F4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1309.28</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368E560">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1305.31</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A347F3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-2817.24</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5B0278E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-8314.33</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8E496F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19827.89</w:t>
            </w:r>
          </w:p>
        </w:tc>
      </w:tr>
      <w:tr w14:paraId="798CB291">
        <w:tblPrEx>
          <w:tblCellMar>
            <w:top w:w="0" w:type="dxa"/>
            <w:left w:w="0" w:type="dxa"/>
            <w:bottom w:w="0" w:type="dxa"/>
            <w:right w:w="0" w:type="dxa"/>
          </w:tblCellMar>
        </w:tblPrEx>
        <w:trPr>
          <w:trHeight w:val="572" w:hRule="atLeast"/>
          <w:jc w:val="center"/>
        </w:trPr>
        <w:tc>
          <w:tcPr>
            <w:tcW w:w="1291" w:type="dxa"/>
            <w:tcBorders>
              <w:top w:val="single" w:color="000000" w:sz="4" w:space="0"/>
              <w:left w:val="single" w:color="000000" w:sz="4" w:space="0"/>
              <w:bottom w:val="single" w:color="000000" w:sz="4" w:space="0"/>
              <w:right w:val="single" w:color="000000" w:sz="4" w:space="0"/>
            </w:tcBorders>
            <w:vAlign w:val="center"/>
          </w:tcPr>
          <w:p w14:paraId="16AB5E73">
            <w:pPr>
              <w:widowControl/>
              <w:spacing w:line="240" w:lineRule="auto"/>
              <w:ind w:firstLine="0" w:firstLineChars="0"/>
              <w:jc w:val="left"/>
              <w:textAlignment w:val="center"/>
              <w:rPr>
                <w:rFonts w:hint="eastAsia" w:cs="仿宋"/>
                <w:color w:val="auto"/>
                <w:sz w:val="14"/>
                <w:szCs w:val="14"/>
              </w:rPr>
            </w:pPr>
            <w:r>
              <w:rPr>
                <w:rFonts w:hint="eastAsia" w:cs="仿宋"/>
                <w:color w:val="auto"/>
                <w:kern w:val="0"/>
                <w:sz w:val="14"/>
                <w:szCs w:val="14"/>
                <w:lang w:bidi="ar"/>
              </w:rPr>
              <w:t>累计盈余资金</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4753138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15646.84</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921134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16950.53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4ECB66C">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18251.29</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81F3934">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19549.02</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10E27648">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20925.47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5AE05B55">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22124.35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6C1CA80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23298.70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267718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24546.63</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57A5506">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25791.00</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11CCE5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27031.71</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7925203E">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28344.87</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052EABA">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29654.15</w:t>
            </w:r>
          </w:p>
        </w:tc>
        <w:tc>
          <w:tcPr>
            <w:tcW w:w="815" w:type="dxa"/>
            <w:tcBorders>
              <w:top w:val="single" w:color="000000" w:sz="4" w:space="0"/>
              <w:left w:val="single" w:color="000000" w:sz="4" w:space="0"/>
              <w:bottom w:val="single" w:color="000000" w:sz="4" w:space="0"/>
              <w:right w:val="single" w:color="000000" w:sz="4" w:space="0"/>
            </w:tcBorders>
            <w:noWrap/>
            <w:vAlign w:val="center"/>
          </w:tcPr>
          <w:p w14:paraId="2803B352">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30959.46</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1030AC9">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28142.22</w:t>
            </w:r>
          </w:p>
        </w:tc>
        <w:tc>
          <w:tcPr>
            <w:tcW w:w="916" w:type="dxa"/>
            <w:tcBorders>
              <w:top w:val="single" w:color="000000" w:sz="4" w:space="0"/>
              <w:left w:val="single" w:color="000000" w:sz="4" w:space="0"/>
              <w:bottom w:val="single" w:color="000000" w:sz="4" w:space="0"/>
              <w:right w:val="single" w:color="000000" w:sz="4" w:space="0"/>
            </w:tcBorders>
            <w:noWrap/>
            <w:vAlign w:val="center"/>
          </w:tcPr>
          <w:p w14:paraId="5CC18B1F">
            <w:pPr>
              <w:widowControl/>
              <w:spacing w:line="240" w:lineRule="auto"/>
              <w:ind w:firstLine="0" w:firstLineChars="0"/>
              <w:jc w:val="center"/>
              <w:textAlignment w:val="center"/>
              <w:rPr>
                <w:rFonts w:hint="eastAsia" w:cs="仿宋"/>
                <w:color w:val="auto"/>
                <w:sz w:val="14"/>
                <w:szCs w:val="14"/>
              </w:rPr>
            </w:pPr>
            <w:r>
              <w:rPr>
                <w:rFonts w:hint="eastAsia" w:cs="仿宋"/>
                <w:color w:val="auto"/>
                <w:kern w:val="0"/>
                <w:sz w:val="14"/>
                <w:szCs w:val="14"/>
                <w:lang w:bidi="ar"/>
              </w:rPr>
              <w:t>19827.89</w:t>
            </w:r>
          </w:p>
        </w:tc>
        <w:tc>
          <w:tcPr>
            <w:tcW w:w="940" w:type="dxa"/>
            <w:tcBorders>
              <w:top w:val="single" w:color="000000" w:sz="4" w:space="0"/>
              <w:left w:val="single" w:color="000000" w:sz="4" w:space="0"/>
              <w:bottom w:val="single" w:color="000000" w:sz="4" w:space="0"/>
              <w:right w:val="single" w:color="000000" w:sz="4" w:space="0"/>
            </w:tcBorders>
            <w:noWrap/>
            <w:vAlign w:val="center"/>
          </w:tcPr>
          <w:p w14:paraId="080316C2">
            <w:pPr>
              <w:spacing w:line="240" w:lineRule="auto"/>
              <w:ind w:firstLine="0" w:firstLineChars="0"/>
              <w:jc w:val="center"/>
              <w:rPr>
                <w:rFonts w:hint="eastAsia" w:cs="仿宋"/>
                <w:color w:val="auto"/>
                <w:sz w:val="14"/>
                <w:szCs w:val="14"/>
              </w:rPr>
            </w:pPr>
          </w:p>
        </w:tc>
      </w:tr>
    </w:tbl>
    <w:p w14:paraId="5CB9DA99">
      <w:pPr>
        <w:pStyle w:val="34"/>
        <w:ind w:firstLine="440"/>
        <w:rPr>
          <w:rFonts w:hint="eastAsia" w:ascii="仿宋" w:hAnsi="仿宋" w:eastAsia="仿宋"/>
          <w:color w:val="auto"/>
        </w:rPr>
        <w:sectPr>
          <w:pgSz w:w="16838" w:h="11906" w:orient="landscape"/>
          <w:pgMar w:top="720" w:right="720" w:bottom="720" w:left="720" w:header="709" w:footer="567" w:gutter="0"/>
          <w:cols w:space="425" w:num="1"/>
          <w:docGrid w:type="lines" w:linePitch="326" w:charSpace="0"/>
        </w:sectPr>
      </w:pPr>
    </w:p>
    <w:p w14:paraId="5CB9DA9A">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五、项目绩效目标</w:t>
      </w:r>
    </w:p>
    <w:p w14:paraId="5CB9DA9B">
      <w:pPr>
        <w:spacing w:before="156" w:beforeLines="50" w:after="156" w:afterLines="50"/>
        <w:ind w:firstLine="643"/>
        <w:outlineLvl w:val="1"/>
        <w:rPr>
          <w:rFonts w:ascii="仿宋" w:hAnsi="仿宋" w:eastAsia="仿宋"/>
          <w:b/>
          <w:color w:val="auto"/>
          <w:sz w:val="32"/>
          <w:szCs w:val="32"/>
          <w:lang w:eastAsia="zh-Hans"/>
        </w:rPr>
      </w:pPr>
      <w:r>
        <w:rPr>
          <w:rFonts w:hint="eastAsia" w:ascii="仿宋" w:hAnsi="仿宋" w:eastAsia="仿宋"/>
          <w:b/>
          <w:color w:val="auto"/>
          <w:sz w:val="32"/>
          <w:szCs w:val="32"/>
        </w:rPr>
        <w:t>（一）</w:t>
      </w:r>
      <w:r>
        <w:rPr>
          <w:rFonts w:hint="eastAsia" w:ascii="仿宋" w:hAnsi="仿宋" w:eastAsia="仿宋"/>
          <w:b/>
          <w:color w:val="auto"/>
          <w:sz w:val="32"/>
          <w:szCs w:val="32"/>
          <w:lang w:eastAsia="zh-Hans"/>
        </w:rPr>
        <w:t>产出目标</w:t>
      </w:r>
    </w:p>
    <w:p w14:paraId="5CB9DA9D">
      <w:pPr>
        <w:adjustRightInd w:val="0"/>
        <w:snapToGrid w:val="0"/>
        <w:ind w:firstLine="480"/>
        <w:rPr>
          <w:rFonts w:hint="eastAsia"/>
          <w:bCs/>
          <w:color w:val="auto"/>
        </w:rPr>
      </w:pPr>
      <w:r>
        <w:rPr>
          <w:rFonts w:hint="eastAsia"/>
          <w:bCs/>
          <w:color w:val="auto"/>
        </w:rPr>
        <w:t>数量目标：</w:t>
      </w:r>
      <w:r>
        <w:rPr>
          <w:rFonts w:hint="eastAsia"/>
          <w:color w:val="auto"/>
        </w:rPr>
        <w:t>为</w:t>
      </w:r>
      <w:r>
        <w:rPr>
          <w:color w:val="auto"/>
        </w:rPr>
        <w:t>26个片区78栋建筑供暖，总供暖</w:t>
      </w:r>
      <w:r>
        <w:rPr>
          <w:rFonts w:hint="eastAsia"/>
          <w:color w:val="auto"/>
        </w:rPr>
        <w:t>建筑面积</w:t>
      </w:r>
      <w:r>
        <w:rPr>
          <w:color w:val="auto"/>
        </w:rPr>
        <w:t>22.62万平方米，其中居住面积约为5.24万平米，公共建筑</w:t>
      </w:r>
      <w:r>
        <w:rPr>
          <w:rFonts w:hint="eastAsia"/>
          <w:color w:val="auto"/>
        </w:rPr>
        <w:t>面积约为</w:t>
      </w:r>
      <w:r>
        <w:rPr>
          <w:color w:val="auto"/>
        </w:rPr>
        <w:t>17.38万平米，涉及学校、医疗、养老、政府机构等。</w:t>
      </w:r>
      <w:r>
        <w:rPr>
          <w:rFonts w:hint="eastAsia"/>
          <w:bCs/>
          <w:color w:val="auto"/>
        </w:rPr>
        <w:t>质量目标：符合验收标准，达到行业基准水平。</w:t>
      </w:r>
    </w:p>
    <w:p w14:paraId="5CB9DA9E">
      <w:pPr>
        <w:adjustRightInd w:val="0"/>
        <w:snapToGrid w:val="0"/>
        <w:ind w:firstLine="480"/>
        <w:rPr>
          <w:rFonts w:hint="eastAsia"/>
          <w:bCs/>
          <w:color w:val="auto"/>
        </w:rPr>
      </w:pPr>
      <w:r>
        <w:rPr>
          <w:rFonts w:hint="eastAsia"/>
          <w:bCs/>
          <w:color w:val="auto"/>
        </w:rPr>
        <w:t>时效目标：本项目建设期跨度32个月，严格执行工程建设程序，合理有序的安排项目建设进度。</w:t>
      </w:r>
    </w:p>
    <w:p w14:paraId="5CB9DA9F">
      <w:pPr>
        <w:adjustRightInd w:val="0"/>
        <w:snapToGrid w:val="0"/>
        <w:ind w:firstLine="480"/>
        <w:rPr>
          <w:rFonts w:hint="eastAsia"/>
          <w:bCs/>
          <w:color w:val="auto"/>
        </w:rPr>
      </w:pPr>
      <w:r>
        <w:rPr>
          <w:rFonts w:hint="eastAsia"/>
          <w:bCs/>
          <w:color w:val="auto"/>
        </w:rPr>
        <w:t>成本目标：项目总投资</w:t>
      </w:r>
      <w:r>
        <w:rPr>
          <w:rFonts w:hint="eastAsia" w:ascii="仿宋" w:cs="仿宋"/>
          <w:color w:val="auto"/>
        </w:rPr>
        <w:t>29400.00</w:t>
      </w:r>
      <w:r>
        <w:rPr>
          <w:rFonts w:hint="eastAsia"/>
          <w:bCs/>
          <w:color w:val="auto"/>
        </w:rPr>
        <w:t>万元。</w:t>
      </w:r>
    </w:p>
    <w:p w14:paraId="5CB9DAA0">
      <w:pPr>
        <w:adjustRightInd w:val="0"/>
        <w:snapToGrid w:val="0"/>
        <w:spacing w:before="10" w:after="156" w:afterLines="50"/>
        <w:ind w:firstLine="643"/>
        <w:outlineLvl w:val="1"/>
        <w:rPr>
          <w:rFonts w:hint="eastAsia" w:eastAsia="仿宋"/>
          <w:color w:val="auto"/>
          <w:kern w:val="0"/>
        </w:rPr>
      </w:pPr>
      <w:r>
        <w:rPr>
          <w:rFonts w:hint="eastAsia" w:ascii="仿宋" w:eastAsia="仿宋"/>
          <w:b/>
          <w:color w:val="auto"/>
          <w:sz w:val="32"/>
          <w:szCs w:val="32"/>
        </w:rPr>
        <w:t>（二）效益目标</w:t>
      </w:r>
    </w:p>
    <w:p w14:paraId="5CB9DAA1">
      <w:pPr>
        <w:adjustRightInd w:val="0"/>
        <w:snapToGrid w:val="0"/>
        <w:ind w:firstLine="480"/>
        <w:rPr>
          <w:rFonts w:hint="eastAsia"/>
          <w:bCs/>
          <w:color w:val="auto"/>
        </w:rPr>
      </w:pPr>
      <w:r>
        <w:rPr>
          <w:rFonts w:hint="eastAsia"/>
          <w:color w:val="auto"/>
          <w:kern w:val="0"/>
        </w:rPr>
        <w:t>经济效益目标：</w:t>
      </w:r>
      <w:r>
        <w:rPr>
          <w:rFonts w:hint="eastAsia"/>
          <w:color w:val="auto"/>
        </w:rPr>
        <w:t>白玉县城镇集中供暖工程收入来源主要为项目建成后供暖收入，待本项目全部</w:t>
      </w:r>
      <w:r>
        <w:rPr>
          <w:rFonts w:hint="eastAsia" w:cs="仿宋"/>
          <w:color w:val="auto"/>
          <w:lang w:val="zh-CN"/>
        </w:rPr>
        <w:t>14000.00</w:t>
      </w:r>
      <w:r>
        <w:rPr>
          <w:rFonts w:hint="eastAsia"/>
          <w:color w:val="auto"/>
        </w:rPr>
        <w:t>万元专项债到期时，在偿还到期的融资本息后，将仍有</w:t>
      </w:r>
      <w:r>
        <w:rPr>
          <w:rFonts w:cs="仿宋"/>
          <w:color w:val="auto"/>
        </w:rPr>
        <w:t>19827.89</w:t>
      </w:r>
      <w:r>
        <w:rPr>
          <w:rFonts w:hint="eastAsia"/>
          <w:color w:val="auto"/>
        </w:rPr>
        <w:t>万元的累计现金结余。项目预期收益可用以偿还债务本息，实现资金平衡，</w:t>
      </w:r>
      <w:r>
        <w:rPr>
          <w:bCs/>
          <w:color w:val="auto"/>
          <w:kern w:val="0"/>
        </w:rPr>
        <w:t>其中：项目债券本息覆盖倍数为</w:t>
      </w:r>
      <w:r>
        <w:rPr>
          <w:rFonts w:hint="eastAsia"/>
          <w:bCs/>
          <w:color w:val="auto"/>
          <w:kern w:val="0"/>
        </w:rPr>
        <w:t>1.68</w:t>
      </w:r>
      <w:r>
        <w:rPr>
          <w:bCs/>
          <w:color w:val="auto"/>
          <w:kern w:val="0"/>
        </w:rPr>
        <w:t>倍</w:t>
      </w:r>
      <w:r>
        <w:rPr>
          <w:rFonts w:hint="eastAsia"/>
          <w:bCs/>
          <w:color w:val="auto"/>
        </w:rPr>
        <w:t>。</w:t>
      </w:r>
    </w:p>
    <w:p w14:paraId="5CB9DAA2">
      <w:pPr>
        <w:adjustRightInd w:val="0"/>
        <w:snapToGrid w:val="0"/>
        <w:ind w:firstLine="480"/>
        <w:rPr>
          <w:rFonts w:hint="eastAsia"/>
          <w:bCs/>
          <w:color w:val="auto"/>
        </w:rPr>
      </w:pPr>
      <w:r>
        <w:rPr>
          <w:rFonts w:hint="eastAsia"/>
          <w:bCs/>
          <w:color w:val="auto"/>
        </w:rPr>
        <w:t>社会效益目标：本项目的建设将提高市民的生活质量及生存环境质量，落实“健康中国”，</w:t>
      </w:r>
      <w:r>
        <w:rPr>
          <w:color w:val="auto"/>
        </w:rPr>
        <w:t>进一步改善城市目前的大气污染状况，提高市民的生活质量及生存环境质量。</w:t>
      </w:r>
    </w:p>
    <w:p w14:paraId="5CB9DAA3">
      <w:pPr>
        <w:adjustRightInd w:val="0"/>
        <w:snapToGrid w:val="0"/>
        <w:ind w:firstLine="480"/>
        <w:rPr>
          <w:rFonts w:hint="eastAsia"/>
          <w:color w:val="auto"/>
        </w:rPr>
      </w:pPr>
      <w:r>
        <w:rPr>
          <w:rFonts w:hint="eastAsia"/>
          <w:bCs/>
          <w:color w:val="auto"/>
        </w:rPr>
        <w:t>可持续影响目标：</w:t>
      </w:r>
      <w:r>
        <w:rPr>
          <w:color w:val="auto"/>
        </w:rPr>
        <w:t>改善人们的居住与生存条件，维护社会安定团结，提升城市环境吸引力，赢得更多的发展机遇</w:t>
      </w:r>
      <w:r>
        <w:rPr>
          <w:rFonts w:hint="eastAsia"/>
          <w:color w:val="auto"/>
        </w:rPr>
        <w:t>。</w:t>
      </w:r>
    </w:p>
    <w:p w14:paraId="5CB9DAA4">
      <w:pPr>
        <w:spacing w:before="10" w:after="156" w:afterLines="50"/>
        <w:ind w:firstLine="643"/>
        <w:outlineLvl w:val="1"/>
        <w:rPr>
          <w:rFonts w:hint="eastAsia"/>
          <w:color w:val="auto"/>
        </w:rPr>
      </w:pPr>
      <w:r>
        <w:rPr>
          <w:rFonts w:hint="eastAsia" w:ascii="仿宋" w:eastAsia="仿宋"/>
          <w:b/>
          <w:color w:val="auto"/>
          <w:sz w:val="32"/>
          <w:szCs w:val="32"/>
        </w:rPr>
        <w:t>（</w:t>
      </w:r>
      <w:r>
        <w:rPr>
          <w:rFonts w:hint="eastAsia" w:ascii="仿宋" w:eastAsia="仿宋"/>
          <w:b/>
          <w:color w:val="auto"/>
          <w:sz w:val="32"/>
          <w:szCs w:val="32"/>
          <w:lang w:eastAsia="zh-Hans"/>
        </w:rPr>
        <w:t>三</w:t>
      </w:r>
      <w:r>
        <w:rPr>
          <w:rFonts w:hint="eastAsia" w:ascii="仿宋" w:eastAsia="仿宋"/>
          <w:b/>
          <w:color w:val="auto"/>
          <w:sz w:val="32"/>
          <w:szCs w:val="32"/>
        </w:rPr>
        <w:t>）</w:t>
      </w:r>
      <w:r>
        <w:rPr>
          <w:rFonts w:hint="eastAsia" w:ascii="仿宋" w:eastAsia="仿宋"/>
          <w:b/>
          <w:color w:val="auto"/>
          <w:sz w:val="32"/>
          <w:szCs w:val="32"/>
          <w:lang w:eastAsia="zh-Hans"/>
        </w:rPr>
        <w:t>满意度</w:t>
      </w:r>
      <w:r>
        <w:rPr>
          <w:rFonts w:hint="eastAsia" w:ascii="仿宋" w:eastAsia="仿宋"/>
          <w:b/>
          <w:color w:val="auto"/>
          <w:sz w:val="32"/>
          <w:szCs w:val="32"/>
        </w:rPr>
        <w:t>目标</w:t>
      </w:r>
    </w:p>
    <w:p w14:paraId="5CB9DAA5">
      <w:pPr>
        <w:adjustRightInd w:val="0"/>
        <w:snapToGrid w:val="0"/>
        <w:ind w:firstLine="480"/>
        <w:rPr>
          <w:rFonts w:hint="eastAsia"/>
          <w:bCs/>
          <w:color w:val="auto"/>
        </w:rPr>
      </w:pPr>
      <w:r>
        <w:rPr>
          <w:rFonts w:hint="eastAsia"/>
          <w:bCs/>
          <w:color w:val="auto"/>
        </w:rPr>
        <w:t>服务对象满意度目标：通过问卷调查等手段，获取满意度达到“良好/满意/80分”及以上。</w:t>
      </w:r>
    </w:p>
    <w:p w14:paraId="5CB9DAA7">
      <w:pPr>
        <w:spacing w:line="560" w:lineRule="exact"/>
        <w:ind w:firstLine="640"/>
        <w:rPr>
          <w:rFonts w:hint="eastAsia" w:ascii="仿宋" w:hAnsi="仿宋" w:eastAsia="仿宋"/>
          <w:color w:val="auto"/>
          <w:sz w:val="32"/>
          <w:szCs w:val="32"/>
        </w:rPr>
      </w:pPr>
    </w:p>
    <w:p w14:paraId="5CB9DAA8">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六、潜在影响项目的风险评估</w:t>
      </w:r>
    </w:p>
    <w:p w14:paraId="5CB9DAA9">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（一）影响项目施工进度或正常运营的风险及控制措施</w:t>
      </w:r>
    </w:p>
    <w:p w14:paraId="5CB9DAAA">
      <w:pPr>
        <w:ind w:firstLine="480"/>
        <w:rPr>
          <w:rFonts w:hint="eastAsia"/>
          <w:color w:val="auto"/>
        </w:rPr>
      </w:pPr>
      <w:r>
        <w:rPr>
          <w:rFonts w:hint="eastAsia"/>
          <w:color w:val="auto"/>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5CB9DAAB">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（二）影响项目收益的风险及控制措施</w:t>
      </w:r>
    </w:p>
    <w:p w14:paraId="5CB9DAAC">
      <w:pPr>
        <w:ind w:firstLine="480"/>
        <w:rPr>
          <w:rFonts w:hint="eastAsia"/>
          <w:color w:val="auto"/>
        </w:rPr>
      </w:pPr>
      <w:r>
        <w:rPr>
          <w:rFonts w:hint="eastAsia"/>
          <w:color w:val="auto"/>
        </w:rPr>
        <w:t>对于经营风险、财务风险等影响项目收益的风险，项目相关机构将全面分析国家项目相关的政策、法律、制度的发展变化；设立项目资金管理专户等措施予以控制。</w:t>
      </w:r>
    </w:p>
    <w:p w14:paraId="5CB9DAAD">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（三）影响融资平衡结果的风险及控制措施</w:t>
      </w:r>
    </w:p>
    <w:p w14:paraId="5CB9DAAE">
      <w:pPr>
        <w:ind w:firstLine="480"/>
        <w:rPr>
          <w:rFonts w:hint="eastAsia"/>
          <w:color w:val="auto"/>
        </w:rPr>
      </w:pPr>
      <w:r>
        <w:rPr>
          <w:rFonts w:hint="eastAsia"/>
          <w:color w:val="auto"/>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5CB9DAAF">
      <w:pPr>
        <w:pStyle w:val="2"/>
        <w:ind w:firstLine="210"/>
        <w:rPr>
          <w:rFonts w:ascii="仿宋" w:hAnsi="仿宋" w:eastAsia="仿宋"/>
          <w:color w:val="auto"/>
        </w:rPr>
      </w:pPr>
    </w:p>
    <w:p w14:paraId="5CB9DAB0">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七、还款保障情况</w:t>
      </w:r>
    </w:p>
    <w:p w14:paraId="5CB9DAB1">
      <w:pPr>
        <w:ind w:firstLine="480"/>
        <w:rPr>
          <w:rFonts w:hint="eastAsia"/>
          <w:color w:val="auto"/>
          <w:lang w:val="zh-CN"/>
        </w:rPr>
      </w:pPr>
      <w:r>
        <w:rPr>
          <w:rFonts w:hint="eastAsia"/>
          <w:color w:val="auto"/>
          <w:lang w:val="zh-CN"/>
        </w:rPr>
        <w:t>按照《国务院办公厅关于印发地方政府性债务风险应急处置预案的通知》（国办函〔</w:t>
      </w:r>
      <w:r>
        <w:rPr>
          <w:color w:val="auto"/>
          <w:lang w:val="zh-CN"/>
        </w:rPr>
        <w:t>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w:t>
      </w:r>
      <w:r>
        <w:rPr>
          <w:rFonts w:hint="eastAsia"/>
          <w:color w:val="auto"/>
          <w:lang w:val="zh-CN"/>
        </w:rPr>
        <w:t>扣回。</w:t>
      </w:r>
    </w:p>
    <w:p w14:paraId="5CB9DAB2">
      <w:pPr>
        <w:pStyle w:val="2"/>
        <w:ind w:firstLine="210"/>
        <w:rPr>
          <w:rFonts w:ascii="仿宋" w:hAnsi="仿宋" w:eastAsia="仿宋"/>
          <w:color w:val="auto"/>
          <w:lang w:val="zh-CN"/>
        </w:rPr>
      </w:pPr>
    </w:p>
    <w:p w14:paraId="5CB9DAB3">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八、主管部门职责和项目单位职责</w:t>
      </w:r>
    </w:p>
    <w:p w14:paraId="5CB9DAB4">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（一）主管部门职责</w:t>
      </w:r>
    </w:p>
    <w:p w14:paraId="5CB9DAB5">
      <w:pPr>
        <w:ind w:firstLine="480"/>
        <w:rPr>
          <w:rFonts w:hint="eastAsia"/>
          <w:color w:val="auto"/>
        </w:rPr>
      </w:pPr>
      <w:r>
        <w:rPr>
          <w:rFonts w:hint="eastAsia"/>
          <w:color w:val="auto"/>
        </w:rPr>
        <w:t>本项目的主管部门是甘孜藏族自治州住房和城乡建设局，其职责为：</w:t>
      </w:r>
    </w:p>
    <w:p w14:paraId="5CB9DAB6">
      <w:pPr>
        <w:ind w:firstLine="480"/>
        <w:rPr>
          <w:rFonts w:hint="eastAsia"/>
          <w:color w:val="auto"/>
        </w:rPr>
      </w:pPr>
      <w:r>
        <w:rPr>
          <w:rFonts w:hint="eastAsia"/>
          <w:color w:val="auto"/>
        </w:rPr>
        <w:t>1</w:t>
      </w:r>
      <w:r>
        <w:rPr>
          <w:color w:val="auto"/>
        </w:rPr>
        <w:t>.</w:t>
      </w:r>
      <w:r>
        <w:rPr>
          <w:rFonts w:hint="eastAsia"/>
          <w:color w:val="auto"/>
        </w:rPr>
        <w:t>认真履行项目建设、运营和维护责任，确保项目如期建设、如期投入运营，早日实现持续稳定的收益。</w:t>
      </w:r>
    </w:p>
    <w:p w14:paraId="5CB9DAB7">
      <w:pPr>
        <w:ind w:firstLine="480"/>
        <w:rPr>
          <w:rFonts w:hint="eastAsia"/>
          <w:color w:val="auto"/>
        </w:rPr>
      </w:pPr>
      <w:r>
        <w:rPr>
          <w:rFonts w:hint="eastAsia"/>
          <w:color w:val="auto"/>
        </w:rPr>
        <w:t>2</w:t>
      </w:r>
      <w:r>
        <w:rPr>
          <w:color w:val="auto"/>
        </w:rPr>
        <w:t>.</w:t>
      </w:r>
      <w:r>
        <w:rPr>
          <w:rFonts w:hint="eastAsia"/>
          <w:color w:val="auto"/>
        </w:rPr>
        <w:t>监督指导建设运营主体规范使用本专项债券资金，对发现的违法违规资金使用进行严肃处理和责任追究。</w:t>
      </w:r>
    </w:p>
    <w:p w14:paraId="5CB9DAB8">
      <w:pPr>
        <w:ind w:firstLine="480"/>
        <w:rPr>
          <w:rFonts w:hint="eastAsia"/>
          <w:color w:val="auto"/>
        </w:rPr>
      </w:pPr>
      <w:r>
        <w:rPr>
          <w:rFonts w:hint="eastAsia"/>
          <w:color w:val="auto"/>
        </w:rPr>
        <w:t>3</w:t>
      </w:r>
      <w:r>
        <w:rPr>
          <w:color w:val="auto"/>
        </w:rPr>
        <w:t>.</w:t>
      </w:r>
      <w:r>
        <w:rPr>
          <w:rFonts w:hint="eastAsia"/>
          <w:color w:val="auto"/>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5CB9DAB9">
      <w:pPr>
        <w:ind w:firstLine="480"/>
        <w:rPr>
          <w:rFonts w:hint="eastAsia"/>
          <w:color w:val="auto"/>
        </w:rPr>
      </w:pPr>
      <w:r>
        <w:rPr>
          <w:rFonts w:hint="eastAsia"/>
          <w:color w:val="auto"/>
        </w:rPr>
        <w:t>4</w:t>
      </w:r>
      <w:r>
        <w:rPr>
          <w:color w:val="auto"/>
        </w:rPr>
        <w:t>.</w:t>
      </w:r>
      <w:r>
        <w:rPr>
          <w:rFonts w:hint="eastAsia"/>
          <w:color w:val="auto"/>
        </w:rPr>
        <w:t>在门户网站等及时披露专项债券对应的项目概况、项目预期收益和融资平衡方案、专项债券规模和期限、发行计划安排、还本付息等信息。</w:t>
      </w:r>
    </w:p>
    <w:p w14:paraId="5CB9DABA">
      <w:pPr>
        <w:spacing w:line="560" w:lineRule="exact"/>
        <w:ind w:firstLine="643"/>
        <w:rPr>
          <w:rFonts w:ascii="仿宋" w:hAnsi="仿宋" w:eastAsia="仿宋"/>
          <w:b/>
          <w:color w:val="auto"/>
          <w:sz w:val="32"/>
          <w:szCs w:val="32"/>
        </w:rPr>
      </w:pPr>
      <w:r>
        <w:rPr>
          <w:rFonts w:hint="eastAsia" w:ascii="仿宋" w:hAnsi="仿宋" w:eastAsia="仿宋"/>
          <w:b/>
          <w:color w:val="auto"/>
          <w:sz w:val="32"/>
          <w:szCs w:val="32"/>
        </w:rPr>
        <w:t>（二）项目单位职责</w:t>
      </w:r>
    </w:p>
    <w:p w14:paraId="5CB9DABB">
      <w:pPr>
        <w:ind w:firstLine="480"/>
        <w:rPr>
          <w:rFonts w:hint="eastAsia"/>
          <w:color w:val="auto"/>
        </w:rPr>
      </w:pPr>
      <w:r>
        <w:rPr>
          <w:rFonts w:hint="eastAsia"/>
          <w:color w:val="auto"/>
        </w:rPr>
        <w:t>本项目的业主单位是</w:t>
      </w:r>
      <w:r>
        <w:rPr>
          <w:rFonts w:hint="eastAsia" w:cs="仿宋"/>
          <w:color w:val="auto"/>
        </w:rPr>
        <w:t>甘孜州暄和热力有限公司</w:t>
      </w:r>
      <w:r>
        <w:rPr>
          <w:rFonts w:hint="eastAsia"/>
          <w:color w:val="auto"/>
        </w:rPr>
        <w:t>，其职责为：</w:t>
      </w:r>
    </w:p>
    <w:p w14:paraId="5CB9DABC">
      <w:pPr>
        <w:ind w:firstLine="480"/>
        <w:rPr>
          <w:rFonts w:hint="eastAsia"/>
          <w:color w:val="auto"/>
        </w:rPr>
      </w:pPr>
      <w:r>
        <w:rPr>
          <w:color w:val="auto"/>
        </w:rPr>
        <w:t>1.提出专项债券项目需求申请，编制报送项目实施方案及相关资料，配合做好债券发行准备。</w:t>
      </w:r>
    </w:p>
    <w:p w14:paraId="5CB9DABD">
      <w:pPr>
        <w:ind w:firstLine="480"/>
        <w:rPr>
          <w:rFonts w:hint="eastAsia"/>
          <w:color w:val="auto"/>
        </w:rPr>
      </w:pPr>
      <w:r>
        <w:rPr>
          <w:color w:val="auto"/>
        </w:rPr>
        <w:t>2.规范使用债券资金，及时形成支出，提高资金使用效益。</w:t>
      </w:r>
    </w:p>
    <w:p w14:paraId="5CB9DABE">
      <w:pPr>
        <w:ind w:firstLine="480"/>
        <w:rPr>
          <w:rFonts w:hint="eastAsia"/>
          <w:color w:val="auto"/>
        </w:rPr>
      </w:pPr>
      <w:r>
        <w:rPr>
          <w:color w:val="auto"/>
        </w:rPr>
        <w:t>3.定期评估项目成本、预期收益和对应资产价值等，发现风险或异常情况及时向主管部门报告。</w:t>
      </w:r>
    </w:p>
    <w:p w14:paraId="5CB9DABF">
      <w:pPr>
        <w:ind w:firstLine="480"/>
        <w:rPr>
          <w:rFonts w:hint="eastAsia"/>
          <w:color w:val="auto"/>
        </w:rPr>
      </w:pPr>
      <w:r>
        <w:rPr>
          <w:color w:val="auto"/>
        </w:rPr>
        <w:t>4.向上级部门总结汇报项目实施情况，贯彻落实上级指示要求；研究解决项目实施中的其他重大问题。</w:t>
      </w:r>
    </w:p>
    <w:p w14:paraId="5CB9DAC0">
      <w:pPr>
        <w:pStyle w:val="2"/>
        <w:ind w:firstLine="210"/>
        <w:rPr>
          <w:rFonts w:ascii="仿宋" w:hAnsi="仿宋" w:eastAsia="仿宋"/>
          <w:color w:val="auto"/>
        </w:rPr>
      </w:pPr>
    </w:p>
    <w:p w14:paraId="5CB9DAC1">
      <w:pPr>
        <w:spacing w:line="560" w:lineRule="exact"/>
        <w:ind w:firstLine="640"/>
        <w:rPr>
          <w:rFonts w:hint="eastAsia" w:ascii="仿宋" w:hAnsi="仿宋" w:eastAsia="仿宋"/>
          <w:color w:val="auto"/>
          <w:sz w:val="32"/>
          <w:szCs w:val="32"/>
        </w:rPr>
      </w:pPr>
      <w:r>
        <w:rPr>
          <w:rFonts w:hint="eastAsia" w:ascii="仿宋" w:hAnsi="仿宋" w:eastAsia="仿宋"/>
          <w:color w:val="auto"/>
          <w:sz w:val="32"/>
          <w:szCs w:val="32"/>
        </w:rPr>
        <w:t>九、补充说明</w:t>
      </w:r>
    </w:p>
    <w:bookmarkEnd w:id="2"/>
    <w:p w14:paraId="765F213D">
      <w:pPr>
        <w:ind w:firstLine="480"/>
      </w:pPr>
      <w:r>
        <w:rPr>
          <w:rFonts w:hint="eastAsia"/>
        </w:rPr>
        <w:t>根据原发行计划及额度安排</w:t>
      </w:r>
      <w:r>
        <w:t>,此项目计划于202</w:t>
      </w:r>
      <w:r>
        <w:rPr>
          <w:rFonts w:hint="eastAsia"/>
          <w:lang w:val="en-US" w:eastAsia="zh-CN"/>
        </w:rPr>
        <w:t>4</w:t>
      </w:r>
      <w:r>
        <w:t>年发行</w:t>
      </w:r>
      <w:r>
        <w:rPr>
          <w:rFonts w:hint="eastAsia"/>
          <w:lang w:val="en-US" w:eastAsia="zh-CN"/>
        </w:rPr>
        <w:t>4200</w:t>
      </w:r>
      <w:r>
        <w:t>万元，因地方政府债务限额管理要求和项目实施进展情况等原因未发行。调整后本次拟发行</w:t>
      </w:r>
      <w:r>
        <w:rPr>
          <w:rFonts w:hint="eastAsia"/>
          <w:lang w:val="en-US" w:eastAsia="zh-CN"/>
        </w:rPr>
        <w:t>5000</w:t>
      </w:r>
      <w:r>
        <w:t>万元，期限</w:t>
      </w:r>
      <w:r>
        <w:rPr>
          <w:rFonts w:hint="eastAsia"/>
          <w:lang w:val="en-US" w:eastAsia="zh-CN"/>
        </w:rPr>
        <w:t>30</w:t>
      </w:r>
      <w:r>
        <w:t>年，该项目实施内容及收益来源未发生变动，在不超过项目债券总需求情况下，债券跨年发行对项目整体融资平衡不构成实质影响。</w:t>
      </w:r>
    </w:p>
    <w:p w14:paraId="480DF519">
      <w:pPr>
        <w:ind w:firstLine="480"/>
        <w:rPr>
          <w:rFonts w:hint="eastAsia"/>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E8038D5-08FC-451F-B25F-BAEF0BFFD34F}"/>
  </w:font>
  <w:font w:name="仿宋_GB2312">
    <w:panose1 w:val="02010609030101010101"/>
    <w:charset w:val="86"/>
    <w:family w:val="auto"/>
    <w:pitch w:val="default"/>
    <w:sig w:usb0="00000001" w:usb1="080E0000" w:usb2="00000000" w:usb3="00000000" w:csb0="00040000" w:csb1="00000000"/>
    <w:embedRegular r:id="rId2" w:fontKey="{28467AA5-5B29-4F3D-9673-959B6301F65A}"/>
  </w:font>
  <w:font w:name="方正公文小标宋">
    <w:panose1 w:val="02000500000000000000"/>
    <w:charset w:val="86"/>
    <w:family w:val="auto"/>
    <w:pitch w:val="default"/>
    <w:sig w:usb0="A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embedRegular r:id="rId3" w:fontKey="{8C47A302-3AAB-461F-8F88-408124AD3777}"/>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LF_Kai">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Calibri Light">
    <w:panose1 w:val="020F03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DAF0">
    <w:pPr>
      <w:pStyle w:val="18"/>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DAEF">
    <w:pPr>
      <w:pStyle w:val="18"/>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DAF2">
    <w:pPr>
      <w:pStyle w:val="18"/>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DAEE">
    <w:pPr>
      <w:pStyle w:val="19"/>
      <w:pBdr>
        <w:bottom w:val="none" w:color="auto" w:sz="0" w:space="0"/>
      </w:pBdr>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DAED">
    <w:pPr>
      <w:pStyle w:val="19"/>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DAF1">
    <w:pPr>
      <w:pStyle w:val="19"/>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YTE5NGUwZTgzMmJhMGQxMmEzN2JjZjE5MzUzM2QifQ=="/>
  </w:docVars>
  <w:rsids>
    <w:rsidRoot w:val="00511187"/>
    <w:rsid w:val="00043975"/>
    <w:rsid w:val="00051F9A"/>
    <w:rsid w:val="00081B83"/>
    <w:rsid w:val="000A6335"/>
    <w:rsid w:val="000A65E8"/>
    <w:rsid w:val="000B29E5"/>
    <w:rsid w:val="000C0B8B"/>
    <w:rsid w:val="000D0C7B"/>
    <w:rsid w:val="00120219"/>
    <w:rsid w:val="001206A9"/>
    <w:rsid w:val="00123FE8"/>
    <w:rsid w:val="00127A6B"/>
    <w:rsid w:val="00133AD0"/>
    <w:rsid w:val="00134611"/>
    <w:rsid w:val="00144F38"/>
    <w:rsid w:val="001709D9"/>
    <w:rsid w:val="00174DCE"/>
    <w:rsid w:val="00194027"/>
    <w:rsid w:val="001945F9"/>
    <w:rsid w:val="001A19CF"/>
    <w:rsid w:val="001C7F88"/>
    <w:rsid w:val="001F0EC3"/>
    <w:rsid w:val="002012C5"/>
    <w:rsid w:val="00265B08"/>
    <w:rsid w:val="002729D2"/>
    <w:rsid w:val="00274E56"/>
    <w:rsid w:val="00290B50"/>
    <w:rsid w:val="002A6411"/>
    <w:rsid w:val="002D5561"/>
    <w:rsid w:val="002E3649"/>
    <w:rsid w:val="00312739"/>
    <w:rsid w:val="0031331F"/>
    <w:rsid w:val="00331FD0"/>
    <w:rsid w:val="00374629"/>
    <w:rsid w:val="00374D6A"/>
    <w:rsid w:val="00374E41"/>
    <w:rsid w:val="003C421E"/>
    <w:rsid w:val="003C7CC3"/>
    <w:rsid w:val="003D7D79"/>
    <w:rsid w:val="003E2E24"/>
    <w:rsid w:val="00401F8C"/>
    <w:rsid w:val="00415303"/>
    <w:rsid w:val="004257C2"/>
    <w:rsid w:val="00431E52"/>
    <w:rsid w:val="00437435"/>
    <w:rsid w:val="0049076A"/>
    <w:rsid w:val="004B190A"/>
    <w:rsid w:val="004B5CEC"/>
    <w:rsid w:val="004C3172"/>
    <w:rsid w:val="004D1630"/>
    <w:rsid w:val="004D2345"/>
    <w:rsid w:val="004D4672"/>
    <w:rsid w:val="004D760E"/>
    <w:rsid w:val="00511187"/>
    <w:rsid w:val="0052526C"/>
    <w:rsid w:val="00567C25"/>
    <w:rsid w:val="00570174"/>
    <w:rsid w:val="005C58CA"/>
    <w:rsid w:val="005D2888"/>
    <w:rsid w:val="005D6BF4"/>
    <w:rsid w:val="005E10DC"/>
    <w:rsid w:val="005F0BD5"/>
    <w:rsid w:val="005F3057"/>
    <w:rsid w:val="0060381E"/>
    <w:rsid w:val="00614B0B"/>
    <w:rsid w:val="00615028"/>
    <w:rsid w:val="00622204"/>
    <w:rsid w:val="0067018D"/>
    <w:rsid w:val="006707A8"/>
    <w:rsid w:val="006D426C"/>
    <w:rsid w:val="006E6AA2"/>
    <w:rsid w:val="006F3033"/>
    <w:rsid w:val="00723816"/>
    <w:rsid w:val="007676AB"/>
    <w:rsid w:val="007801D8"/>
    <w:rsid w:val="007A2F87"/>
    <w:rsid w:val="007B1C93"/>
    <w:rsid w:val="007B6674"/>
    <w:rsid w:val="007E7942"/>
    <w:rsid w:val="0081477F"/>
    <w:rsid w:val="00826303"/>
    <w:rsid w:val="00843A57"/>
    <w:rsid w:val="008710BB"/>
    <w:rsid w:val="008820AF"/>
    <w:rsid w:val="008C36B2"/>
    <w:rsid w:val="008F0FA3"/>
    <w:rsid w:val="00916B43"/>
    <w:rsid w:val="00926589"/>
    <w:rsid w:val="0093189A"/>
    <w:rsid w:val="009853CA"/>
    <w:rsid w:val="00995942"/>
    <w:rsid w:val="009A6AEE"/>
    <w:rsid w:val="009B1077"/>
    <w:rsid w:val="009B3F55"/>
    <w:rsid w:val="00A40DDE"/>
    <w:rsid w:val="00A804BE"/>
    <w:rsid w:val="00AB4F6E"/>
    <w:rsid w:val="00AB5163"/>
    <w:rsid w:val="00AD449D"/>
    <w:rsid w:val="00AE413D"/>
    <w:rsid w:val="00AF5F9F"/>
    <w:rsid w:val="00AF6C07"/>
    <w:rsid w:val="00B543D8"/>
    <w:rsid w:val="00B62B01"/>
    <w:rsid w:val="00B70CCC"/>
    <w:rsid w:val="00B86133"/>
    <w:rsid w:val="00BA785D"/>
    <w:rsid w:val="00BB73A5"/>
    <w:rsid w:val="00BC43D9"/>
    <w:rsid w:val="00BC719D"/>
    <w:rsid w:val="00BE1F42"/>
    <w:rsid w:val="00BE2F03"/>
    <w:rsid w:val="00C073D1"/>
    <w:rsid w:val="00C30DBA"/>
    <w:rsid w:val="00C4400A"/>
    <w:rsid w:val="00C573EA"/>
    <w:rsid w:val="00C80E30"/>
    <w:rsid w:val="00C87C46"/>
    <w:rsid w:val="00CB2856"/>
    <w:rsid w:val="00CB70FF"/>
    <w:rsid w:val="00CE5F09"/>
    <w:rsid w:val="00D12C97"/>
    <w:rsid w:val="00D14671"/>
    <w:rsid w:val="00D15A74"/>
    <w:rsid w:val="00D21F92"/>
    <w:rsid w:val="00D235E0"/>
    <w:rsid w:val="00D67EAF"/>
    <w:rsid w:val="00DF0C98"/>
    <w:rsid w:val="00E00118"/>
    <w:rsid w:val="00E03246"/>
    <w:rsid w:val="00E32881"/>
    <w:rsid w:val="00E52722"/>
    <w:rsid w:val="00E53CF2"/>
    <w:rsid w:val="00EA0719"/>
    <w:rsid w:val="00EA0B19"/>
    <w:rsid w:val="00EA1B05"/>
    <w:rsid w:val="00EA3402"/>
    <w:rsid w:val="00EC61AD"/>
    <w:rsid w:val="00EE1075"/>
    <w:rsid w:val="00EF6843"/>
    <w:rsid w:val="00EF7DF3"/>
    <w:rsid w:val="00F03FFD"/>
    <w:rsid w:val="00F17B2C"/>
    <w:rsid w:val="00F43382"/>
    <w:rsid w:val="00F5031D"/>
    <w:rsid w:val="00F614DA"/>
    <w:rsid w:val="00F62E2E"/>
    <w:rsid w:val="00F67CF9"/>
    <w:rsid w:val="00F700D6"/>
    <w:rsid w:val="00F85E3A"/>
    <w:rsid w:val="00F91DA4"/>
    <w:rsid w:val="00F91DFB"/>
    <w:rsid w:val="00F949F3"/>
    <w:rsid w:val="00FA1CA9"/>
    <w:rsid w:val="00FB6832"/>
    <w:rsid w:val="00FC6E4C"/>
    <w:rsid w:val="00FD2A48"/>
    <w:rsid w:val="00FD59E1"/>
    <w:rsid w:val="00FD5D0D"/>
    <w:rsid w:val="00FE67E4"/>
    <w:rsid w:val="103565DA"/>
    <w:rsid w:val="14642729"/>
    <w:rsid w:val="17625D82"/>
    <w:rsid w:val="207612CA"/>
    <w:rsid w:val="2FFD58B8"/>
    <w:rsid w:val="35365ADC"/>
    <w:rsid w:val="3A1B1FA5"/>
    <w:rsid w:val="3E7E3A38"/>
    <w:rsid w:val="3FFD8044"/>
    <w:rsid w:val="411B5C97"/>
    <w:rsid w:val="532F7F75"/>
    <w:rsid w:val="5C074916"/>
    <w:rsid w:val="600F439D"/>
    <w:rsid w:val="63E65214"/>
    <w:rsid w:val="664E34FD"/>
    <w:rsid w:val="68237C7D"/>
    <w:rsid w:val="6C1B518B"/>
    <w:rsid w:val="6CC764CB"/>
    <w:rsid w:val="738F3CB5"/>
    <w:rsid w:val="79FF8168"/>
    <w:rsid w:val="FEFB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Calibri"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semiHidden="0"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仿宋" w:hAnsi="仿宋" w:eastAsia="仿宋" w:cs="Times New Roman"/>
      <w:color w:val="000000"/>
      <w:kern w:val="2"/>
      <w:sz w:val="24"/>
      <w:szCs w:val="24"/>
      <w:lang w:val="en-US" w:eastAsia="zh-CN" w:bidi="ar-SA"/>
    </w:rPr>
  </w:style>
  <w:style w:type="paragraph" w:styleId="4">
    <w:name w:val="heading 1"/>
    <w:basedOn w:val="1"/>
    <w:next w:val="1"/>
    <w:link w:val="42"/>
    <w:qFormat/>
    <w:uiPriority w:val="99"/>
    <w:pPr>
      <w:spacing w:before="50" w:beforeLines="50" w:after="50" w:afterLines="50"/>
      <w:ind w:left="200" w:leftChars="200" w:firstLine="0" w:firstLineChars="0"/>
      <w:outlineLvl w:val="0"/>
    </w:pPr>
    <w:rPr>
      <w:rFonts w:ascii="黑体" w:eastAsia="黑体"/>
      <w:sz w:val="32"/>
    </w:rPr>
  </w:style>
  <w:style w:type="paragraph" w:styleId="5">
    <w:name w:val="heading 2"/>
    <w:basedOn w:val="1"/>
    <w:next w:val="1"/>
    <w:link w:val="43"/>
    <w:unhideWhenUsed/>
    <w:qFormat/>
    <w:uiPriority w:val="99"/>
    <w:pPr>
      <w:spacing w:before="50" w:beforeLines="50" w:after="50" w:afterLines="50"/>
      <w:ind w:left="200" w:leftChars="200" w:firstLine="0" w:firstLineChars="0"/>
      <w:outlineLvl w:val="1"/>
    </w:pPr>
    <w:rPr>
      <w:rFonts w:ascii="楷体_GB2312" w:eastAsia="楷体"/>
      <w:b/>
      <w:sz w:val="32"/>
    </w:rPr>
  </w:style>
  <w:style w:type="paragraph" w:styleId="6">
    <w:name w:val="heading 3"/>
    <w:basedOn w:val="1"/>
    <w:next w:val="1"/>
    <w:link w:val="44"/>
    <w:unhideWhenUsed/>
    <w:qFormat/>
    <w:uiPriority w:val="99"/>
    <w:pPr>
      <w:spacing w:before="50" w:beforeLines="50" w:after="50" w:afterLines="50"/>
      <w:ind w:left="200" w:leftChars="200" w:firstLine="0" w:firstLineChars="0"/>
      <w:outlineLvl w:val="2"/>
    </w:pPr>
    <w:rPr>
      <w:b/>
      <w:sz w:val="32"/>
    </w:rPr>
  </w:style>
  <w:style w:type="paragraph" w:styleId="7">
    <w:name w:val="heading 4"/>
    <w:basedOn w:val="1"/>
    <w:next w:val="1"/>
    <w:link w:val="52"/>
    <w:qFormat/>
    <w:uiPriority w:val="99"/>
    <w:pPr>
      <w:keepNext/>
      <w:tabs>
        <w:tab w:val="left" w:pos="0"/>
      </w:tabs>
      <w:ind w:firstLine="482"/>
      <w:outlineLvl w:val="3"/>
    </w:pPr>
    <w:rPr>
      <w:bCs/>
      <w:color w:val="auto"/>
      <w:sz w:val="28"/>
      <w:szCs w:val="28"/>
    </w:rPr>
  </w:style>
  <w:style w:type="paragraph" w:styleId="8">
    <w:name w:val="heading 5"/>
    <w:basedOn w:val="1"/>
    <w:next w:val="1"/>
    <w:link w:val="53"/>
    <w:unhideWhenUsed/>
    <w:qFormat/>
    <w:uiPriority w:val="99"/>
    <w:pPr>
      <w:keepNext/>
      <w:keepLines/>
      <w:spacing w:before="280" w:after="290" w:line="372" w:lineRule="auto"/>
      <w:ind w:firstLine="482"/>
      <w:outlineLvl w:val="4"/>
    </w:pPr>
    <w:rPr>
      <w:b/>
      <w:color w:val="auto"/>
      <w:sz w:val="28"/>
    </w:rPr>
  </w:style>
  <w:style w:type="paragraph" w:styleId="9">
    <w:name w:val="heading 6"/>
    <w:basedOn w:val="1"/>
    <w:next w:val="1"/>
    <w:link w:val="54"/>
    <w:qFormat/>
    <w:uiPriority w:val="99"/>
    <w:pPr>
      <w:widowControl/>
      <w:adjustRightInd w:val="0"/>
      <w:snapToGrid w:val="0"/>
      <w:spacing w:line="260" w:lineRule="atLeast"/>
      <w:ind w:firstLine="504"/>
      <w:jc w:val="left"/>
      <w:outlineLvl w:val="5"/>
    </w:pPr>
    <w:rPr>
      <w:rFonts w:ascii="华文楷体" w:hAnsi="华文楷体" w:eastAsia="LF_Kai"/>
      <w:color w:val="auto"/>
      <w:kern w:val="0"/>
      <w:szCs w:val="20"/>
      <w:lang w:val="en-GB" w:eastAsia="zh-HK"/>
    </w:rPr>
  </w:style>
  <w:style w:type="paragraph" w:styleId="10">
    <w:name w:val="heading 7"/>
    <w:basedOn w:val="1"/>
    <w:next w:val="1"/>
    <w:link w:val="55"/>
    <w:qFormat/>
    <w:uiPriority w:val="99"/>
    <w:pPr>
      <w:widowControl/>
      <w:adjustRightInd w:val="0"/>
      <w:snapToGrid w:val="0"/>
      <w:spacing w:line="260" w:lineRule="atLeast"/>
      <w:ind w:firstLine="504"/>
      <w:jc w:val="left"/>
      <w:outlineLvl w:val="6"/>
    </w:pPr>
    <w:rPr>
      <w:rFonts w:ascii="华文楷体" w:hAnsi="华文楷体" w:eastAsia="LF_Kai"/>
      <w:color w:val="auto"/>
      <w:kern w:val="0"/>
      <w:szCs w:val="20"/>
      <w:lang w:val="en-GB" w:eastAsia="zh-HK"/>
    </w:rPr>
  </w:style>
  <w:style w:type="paragraph" w:styleId="11">
    <w:name w:val="heading 8"/>
    <w:basedOn w:val="1"/>
    <w:next w:val="1"/>
    <w:link w:val="56"/>
    <w:qFormat/>
    <w:uiPriority w:val="99"/>
    <w:pPr>
      <w:widowControl/>
      <w:adjustRightInd w:val="0"/>
      <w:snapToGrid w:val="0"/>
      <w:spacing w:line="260" w:lineRule="atLeast"/>
      <w:ind w:firstLine="504"/>
      <w:jc w:val="left"/>
      <w:outlineLvl w:val="7"/>
    </w:pPr>
    <w:rPr>
      <w:rFonts w:ascii="华文楷体" w:hAnsi="华文楷体" w:eastAsia="LF_Kai"/>
      <w:color w:val="auto"/>
      <w:kern w:val="0"/>
      <w:szCs w:val="20"/>
      <w:lang w:val="en-GB" w:eastAsia="zh-HK"/>
    </w:rPr>
  </w:style>
  <w:style w:type="paragraph" w:styleId="12">
    <w:name w:val="heading 9"/>
    <w:basedOn w:val="1"/>
    <w:next w:val="1"/>
    <w:link w:val="57"/>
    <w:qFormat/>
    <w:uiPriority w:val="99"/>
    <w:pPr>
      <w:widowControl/>
      <w:adjustRightInd w:val="0"/>
      <w:snapToGrid w:val="0"/>
      <w:spacing w:line="260" w:lineRule="atLeast"/>
      <w:ind w:firstLine="504"/>
      <w:jc w:val="left"/>
      <w:outlineLvl w:val="8"/>
    </w:pPr>
    <w:rPr>
      <w:rFonts w:ascii="华文楷体" w:hAnsi="华文楷体" w:eastAsia="LF_Kai"/>
      <w:color w:val="auto"/>
      <w:kern w:val="0"/>
      <w:szCs w:val="20"/>
      <w:lang w:val="en-GB" w:eastAsia="zh-HK"/>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link w:val="58"/>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paragraph" w:styleId="3">
    <w:name w:val="Body Text"/>
    <w:basedOn w:val="1"/>
    <w:link w:val="35"/>
    <w:qFormat/>
    <w:uiPriority w:val="0"/>
    <w:pPr>
      <w:adjustRightInd w:val="0"/>
      <w:snapToGrid w:val="0"/>
      <w:spacing w:before="150" w:after="150" w:line="264" w:lineRule="auto"/>
      <w:ind w:firstLine="567"/>
    </w:pPr>
    <w:rPr>
      <w:rFonts w:ascii="华文楷体" w:hAnsi="华文楷体" w:eastAsia="LF_Kai"/>
      <w:kern w:val="0"/>
      <w:szCs w:val="20"/>
      <w:lang w:val="en-GB"/>
    </w:rPr>
  </w:style>
  <w:style w:type="paragraph" w:styleId="13">
    <w:name w:val="annotation text"/>
    <w:basedOn w:val="1"/>
    <w:link w:val="36"/>
    <w:unhideWhenUsed/>
    <w:qFormat/>
    <w:uiPriority w:val="99"/>
    <w:pPr>
      <w:jc w:val="left"/>
    </w:pPr>
  </w:style>
  <w:style w:type="paragraph" w:styleId="14">
    <w:name w:val="Body Text Indent"/>
    <w:basedOn w:val="1"/>
    <w:link w:val="60"/>
    <w:unhideWhenUsed/>
    <w:qFormat/>
    <w:uiPriority w:val="99"/>
    <w:pPr>
      <w:spacing w:after="120"/>
      <w:ind w:left="420" w:leftChars="200" w:firstLine="504"/>
    </w:pPr>
    <w:rPr>
      <w:color w:val="auto"/>
    </w:rPr>
  </w:style>
  <w:style w:type="paragraph" w:styleId="15">
    <w:name w:val="toc 3"/>
    <w:basedOn w:val="1"/>
    <w:next w:val="1"/>
    <w:qFormat/>
    <w:uiPriority w:val="39"/>
    <w:pPr>
      <w:spacing w:line="240" w:lineRule="auto"/>
      <w:ind w:firstLine="964" w:firstLineChars="400"/>
    </w:pPr>
    <w:rPr>
      <w:color w:val="auto"/>
    </w:rPr>
  </w:style>
  <w:style w:type="paragraph" w:styleId="16">
    <w:name w:val="Date"/>
    <w:basedOn w:val="1"/>
    <w:next w:val="1"/>
    <w:link w:val="63"/>
    <w:qFormat/>
    <w:uiPriority w:val="0"/>
    <w:pPr>
      <w:ind w:left="100" w:leftChars="2500" w:firstLine="482"/>
    </w:pPr>
    <w:rPr>
      <w:color w:val="auto"/>
    </w:rPr>
  </w:style>
  <w:style w:type="paragraph" w:styleId="17">
    <w:name w:val="Balloon Text"/>
    <w:basedOn w:val="1"/>
    <w:link w:val="38"/>
    <w:unhideWhenUsed/>
    <w:qFormat/>
    <w:uiPriority w:val="99"/>
    <w:rPr>
      <w:sz w:val="18"/>
      <w:szCs w:val="18"/>
    </w:rPr>
  </w:style>
  <w:style w:type="paragraph" w:styleId="18">
    <w:name w:val="footer"/>
    <w:basedOn w:val="1"/>
    <w:link w:val="40"/>
    <w:unhideWhenUsed/>
    <w:qFormat/>
    <w:uiPriority w:val="99"/>
    <w:pPr>
      <w:tabs>
        <w:tab w:val="center" w:pos="4153"/>
        <w:tab w:val="right" w:pos="8306"/>
      </w:tabs>
      <w:snapToGrid w:val="0"/>
      <w:jc w:val="left"/>
    </w:pPr>
    <w:rPr>
      <w:sz w:val="18"/>
      <w:szCs w:val="18"/>
    </w:rPr>
  </w:style>
  <w:style w:type="paragraph" w:styleId="19">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21">
    <w:name w:val="Subtitle"/>
    <w:basedOn w:val="1"/>
    <w:next w:val="1"/>
    <w:link w:val="65"/>
    <w:qFormat/>
    <w:uiPriority w:val="99"/>
    <w:pPr>
      <w:spacing w:before="240" w:after="60" w:line="312" w:lineRule="auto"/>
      <w:ind w:firstLine="482"/>
      <w:jc w:val="center"/>
    </w:pPr>
    <w:rPr>
      <w:rFonts w:ascii="Cambria" w:hAnsi="Cambria" w:eastAsia="黑体"/>
      <w:b/>
      <w:bCs/>
      <w:color w:val="auto"/>
      <w:kern w:val="28"/>
      <w:szCs w:val="32"/>
    </w:rPr>
  </w:style>
  <w:style w:type="paragraph" w:styleId="22">
    <w:name w:val="toc 2"/>
    <w:basedOn w:val="1"/>
    <w:next w:val="1"/>
    <w:qFormat/>
    <w:uiPriority w:val="39"/>
    <w:pPr>
      <w:spacing w:line="240" w:lineRule="auto"/>
      <w:ind w:firstLine="482"/>
    </w:pPr>
    <w:rPr>
      <w:color w:val="auto"/>
    </w:rPr>
  </w:style>
  <w:style w:type="paragraph" w:styleId="23">
    <w:name w:val="Normal (Web)"/>
    <w:basedOn w:val="1"/>
    <w:unhideWhenUsed/>
    <w:qFormat/>
    <w:uiPriority w:val="99"/>
    <w:pPr>
      <w:widowControl/>
      <w:spacing w:before="100" w:beforeAutospacing="1" w:after="100" w:afterAutospacing="1"/>
      <w:ind w:firstLine="482"/>
      <w:jc w:val="left"/>
    </w:pPr>
    <w:rPr>
      <w:rFonts w:ascii="宋体" w:hAnsi="宋体" w:cs="宋体"/>
      <w:color w:val="auto"/>
      <w:kern w:val="0"/>
    </w:rPr>
  </w:style>
  <w:style w:type="paragraph" w:styleId="24">
    <w:name w:val="Title"/>
    <w:basedOn w:val="1"/>
    <w:next w:val="1"/>
    <w:link w:val="41"/>
    <w:qFormat/>
    <w:uiPriority w:val="10"/>
    <w:pPr>
      <w:spacing w:before="156" w:beforeLines="50" w:after="312" w:afterLines="100"/>
      <w:ind w:firstLine="0" w:firstLineChars="0"/>
      <w:jc w:val="center"/>
    </w:pPr>
    <w:rPr>
      <w:rFonts w:ascii="方正小标宋简体" w:hAnsi="Calibri" w:eastAsia="方正小标宋简体"/>
      <w:sz w:val="40"/>
      <w:szCs w:val="40"/>
    </w:rPr>
  </w:style>
  <w:style w:type="paragraph" w:styleId="25">
    <w:name w:val="annotation subject"/>
    <w:basedOn w:val="13"/>
    <w:next w:val="13"/>
    <w:link w:val="37"/>
    <w:unhideWhenUsed/>
    <w:qFormat/>
    <w:uiPriority w:val="99"/>
    <w:rPr>
      <w:b/>
      <w:bCs/>
    </w:rPr>
  </w:style>
  <w:style w:type="table" w:styleId="27">
    <w:name w:val="Table Grid"/>
    <w:basedOn w:val="26"/>
    <w:qFormat/>
    <w:uiPriority w:val="39"/>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FollowedHyperlink"/>
    <w:unhideWhenUsed/>
    <w:qFormat/>
    <w:uiPriority w:val="99"/>
    <w:rPr>
      <w:color w:val="800080"/>
      <w:u w:val="single"/>
    </w:rPr>
  </w:style>
  <w:style w:type="character" w:styleId="30">
    <w:name w:val="Emphasis"/>
    <w:basedOn w:val="28"/>
    <w:qFormat/>
    <w:uiPriority w:val="0"/>
    <w:rPr>
      <w:i/>
    </w:rPr>
  </w:style>
  <w:style w:type="character" w:styleId="31">
    <w:name w:val="Hyperlink"/>
    <w:basedOn w:val="28"/>
    <w:semiHidden/>
    <w:unhideWhenUsed/>
    <w:qFormat/>
    <w:uiPriority w:val="99"/>
    <w:rPr>
      <w:color w:val="0563C1" w:themeColor="hyperlink"/>
      <w:u w:val="single"/>
      <w14:textFill>
        <w14:solidFill>
          <w14:schemeClr w14:val="hlink"/>
        </w14:solidFill>
      </w14:textFill>
    </w:rPr>
  </w:style>
  <w:style w:type="character" w:styleId="32">
    <w:name w:val="annotation reference"/>
    <w:basedOn w:val="28"/>
    <w:unhideWhenUsed/>
    <w:qFormat/>
    <w:uiPriority w:val="99"/>
    <w:rPr>
      <w:sz w:val="21"/>
      <w:szCs w:val="21"/>
    </w:rPr>
  </w:style>
  <w:style w:type="character" w:customStyle="1" w:styleId="33">
    <w:name w:val="Body text|2_"/>
    <w:link w:val="34"/>
    <w:qFormat/>
    <w:uiPriority w:val="0"/>
    <w:rPr>
      <w:rFonts w:ascii="PMingLiU" w:hAnsi="PMingLiU" w:eastAsia="PMingLiU" w:cs="PMingLiU"/>
      <w:sz w:val="22"/>
      <w:shd w:val="clear" w:color="auto" w:fill="FFFFFF"/>
    </w:rPr>
  </w:style>
  <w:style w:type="paragraph" w:customStyle="1" w:styleId="34">
    <w:name w:val="Body text|2"/>
    <w:basedOn w:val="1"/>
    <w:link w:val="33"/>
    <w:qFormat/>
    <w:uiPriority w:val="0"/>
    <w:pPr>
      <w:shd w:val="clear" w:color="auto" w:fill="FFFFFF"/>
      <w:spacing w:after="100" w:line="220" w:lineRule="exact"/>
      <w:jc w:val="left"/>
    </w:pPr>
    <w:rPr>
      <w:rFonts w:ascii="PMingLiU" w:hAnsi="PMingLiU" w:eastAsia="PMingLiU" w:cs="PMingLiU"/>
      <w:sz w:val="22"/>
    </w:rPr>
  </w:style>
  <w:style w:type="character" w:customStyle="1" w:styleId="35">
    <w:name w:val="正文文本 字符"/>
    <w:basedOn w:val="28"/>
    <w:link w:val="3"/>
    <w:qFormat/>
    <w:uiPriority w:val="0"/>
    <w:rPr>
      <w:rFonts w:ascii="华文楷体" w:hAnsi="华文楷体" w:eastAsia="LF_Kai" w:cs="Times New Roman"/>
      <w:kern w:val="0"/>
      <w:sz w:val="24"/>
      <w:szCs w:val="20"/>
      <w:lang w:val="en-GB"/>
    </w:rPr>
  </w:style>
  <w:style w:type="character" w:customStyle="1" w:styleId="36">
    <w:name w:val="批注文字 字符"/>
    <w:basedOn w:val="28"/>
    <w:link w:val="13"/>
    <w:qFormat/>
    <w:uiPriority w:val="99"/>
  </w:style>
  <w:style w:type="character" w:customStyle="1" w:styleId="37">
    <w:name w:val="批注主题 字符"/>
    <w:basedOn w:val="36"/>
    <w:link w:val="25"/>
    <w:qFormat/>
    <w:uiPriority w:val="99"/>
    <w:rPr>
      <w:b/>
      <w:bCs/>
    </w:rPr>
  </w:style>
  <w:style w:type="character" w:customStyle="1" w:styleId="38">
    <w:name w:val="批注框文本 字符"/>
    <w:basedOn w:val="28"/>
    <w:link w:val="17"/>
    <w:qFormat/>
    <w:uiPriority w:val="99"/>
    <w:rPr>
      <w:sz w:val="18"/>
      <w:szCs w:val="18"/>
    </w:rPr>
  </w:style>
  <w:style w:type="character" w:customStyle="1" w:styleId="39">
    <w:name w:val="页眉 字符"/>
    <w:basedOn w:val="28"/>
    <w:link w:val="19"/>
    <w:qFormat/>
    <w:uiPriority w:val="99"/>
    <w:rPr>
      <w:sz w:val="18"/>
      <w:szCs w:val="18"/>
    </w:rPr>
  </w:style>
  <w:style w:type="character" w:customStyle="1" w:styleId="40">
    <w:name w:val="页脚 字符"/>
    <w:basedOn w:val="28"/>
    <w:link w:val="18"/>
    <w:qFormat/>
    <w:uiPriority w:val="99"/>
    <w:rPr>
      <w:sz w:val="18"/>
      <w:szCs w:val="18"/>
    </w:rPr>
  </w:style>
  <w:style w:type="character" w:customStyle="1" w:styleId="41">
    <w:name w:val="标题 字符"/>
    <w:basedOn w:val="28"/>
    <w:link w:val="24"/>
    <w:qFormat/>
    <w:uiPriority w:val="10"/>
    <w:rPr>
      <w:rFonts w:ascii="方正小标宋简体" w:eastAsia="方正小标宋简体"/>
      <w:color w:val="000000"/>
      <w:kern w:val="2"/>
      <w:sz w:val="40"/>
      <w:szCs w:val="40"/>
    </w:rPr>
  </w:style>
  <w:style w:type="character" w:customStyle="1" w:styleId="42">
    <w:name w:val="标题 1 字符"/>
    <w:basedOn w:val="28"/>
    <w:link w:val="4"/>
    <w:qFormat/>
    <w:uiPriority w:val="99"/>
    <w:rPr>
      <w:rFonts w:ascii="黑体" w:hAnsi="仿宋" w:eastAsia="黑体"/>
      <w:color w:val="000000"/>
      <w:kern w:val="2"/>
      <w:sz w:val="32"/>
      <w:szCs w:val="24"/>
    </w:rPr>
  </w:style>
  <w:style w:type="character" w:customStyle="1" w:styleId="43">
    <w:name w:val="标题 2 字符"/>
    <w:basedOn w:val="28"/>
    <w:link w:val="5"/>
    <w:qFormat/>
    <w:uiPriority w:val="99"/>
    <w:rPr>
      <w:rFonts w:ascii="楷体_GB2312" w:hAnsi="仿宋" w:eastAsia="楷体"/>
      <w:b/>
      <w:color w:val="000000"/>
      <w:kern w:val="2"/>
      <w:sz w:val="32"/>
      <w:szCs w:val="24"/>
    </w:rPr>
  </w:style>
  <w:style w:type="character" w:customStyle="1" w:styleId="44">
    <w:name w:val="标题 3 字符"/>
    <w:basedOn w:val="28"/>
    <w:link w:val="6"/>
    <w:qFormat/>
    <w:uiPriority w:val="99"/>
    <w:rPr>
      <w:rFonts w:ascii="仿宋" w:hAnsi="仿宋" w:eastAsia="仿宋"/>
      <w:b/>
      <w:color w:val="000000"/>
      <w:kern w:val="2"/>
      <w:sz w:val="32"/>
      <w:szCs w:val="24"/>
    </w:rPr>
  </w:style>
  <w:style w:type="paragraph" w:customStyle="1" w:styleId="45">
    <w:name w:val="表格标题"/>
    <w:basedOn w:val="1"/>
    <w:link w:val="47"/>
    <w:qFormat/>
    <w:uiPriority w:val="0"/>
    <w:pPr>
      <w:ind w:firstLine="0" w:firstLineChars="0"/>
      <w:jc w:val="center"/>
    </w:pPr>
    <w:rPr>
      <w:b/>
      <w:sz w:val="21"/>
    </w:rPr>
  </w:style>
  <w:style w:type="paragraph" w:customStyle="1" w:styleId="46">
    <w:name w:val="表格内容"/>
    <w:basedOn w:val="1"/>
    <w:link w:val="49"/>
    <w:qFormat/>
    <w:uiPriority w:val="0"/>
    <w:pPr>
      <w:spacing w:line="240" w:lineRule="auto"/>
      <w:ind w:firstLine="0" w:firstLineChars="0"/>
      <w:jc w:val="center"/>
    </w:pPr>
    <w:rPr>
      <w:sz w:val="21"/>
      <w:szCs w:val="21"/>
    </w:rPr>
  </w:style>
  <w:style w:type="character" w:customStyle="1" w:styleId="47">
    <w:name w:val="表格标题 字符"/>
    <w:basedOn w:val="28"/>
    <w:link w:val="45"/>
    <w:qFormat/>
    <w:uiPriority w:val="0"/>
    <w:rPr>
      <w:rFonts w:ascii="仿宋" w:hAnsi="仿宋" w:eastAsia="仿宋"/>
      <w:b/>
      <w:color w:val="000000"/>
      <w:kern w:val="2"/>
      <w:sz w:val="21"/>
      <w:szCs w:val="24"/>
    </w:rPr>
  </w:style>
  <w:style w:type="paragraph" w:customStyle="1" w:styleId="48">
    <w:name w:val="表格内容2"/>
    <w:basedOn w:val="46"/>
    <w:link w:val="50"/>
    <w:qFormat/>
    <w:uiPriority w:val="0"/>
    <w:rPr>
      <w:sz w:val="16"/>
      <w:szCs w:val="16"/>
    </w:rPr>
  </w:style>
  <w:style w:type="character" w:customStyle="1" w:styleId="49">
    <w:name w:val="表格内容 字符"/>
    <w:basedOn w:val="28"/>
    <w:link w:val="46"/>
    <w:qFormat/>
    <w:uiPriority w:val="0"/>
    <w:rPr>
      <w:rFonts w:ascii="仿宋" w:hAnsi="仿宋" w:eastAsia="仿宋"/>
      <w:color w:val="000000"/>
      <w:kern w:val="2"/>
      <w:sz w:val="21"/>
      <w:szCs w:val="21"/>
    </w:rPr>
  </w:style>
  <w:style w:type="character" w:customStyle="1" w:styleId="50">
    <w:name w:val="表格内容2 字符"/>
    <w:basedOn w:val="49"/>
    <w:link w:val="48"/>
    <w:qFormat/>
    <w:uiPriority w:val="0"/>
    <w:rPr>
      <w:rFonts w:ascii="仿宋" w:hAnsi="仿宋" w:eastAsia="仿宋"/>
      <w:color w:val="000000"/>
      <w:kern w:val="2"/>
      <w:sz w:val="16"/>
      <w:szCs w:val="16"/>
    </w:rPr>
  </w:style>
  <w:style w:type="paragraph" w:customStyle="1" w:styleId="51">
    <w:name w:val="Revision"/>
    <w:hidden/>
    <w:unhideWhenUsed/>
    <w:qFormat/>
    <w:uiPriority w:val="99"/>
    <w:rPr>
      <w:rFonts w:ascii="仿宋" w:hAnsi="仿宋" w:eastAsia="仿宋" w:cs="Times New Roman"/>
      <w:color w:val="000000"/>
      <w:kern w:val="2"/>
      <w:sz w:val="24"/>
      <w:szCs w:val="24"/>
      <w:lang w:val="en-US" w:eastAsia="zh-CN" w:bidi="ar-SA"/>
    </w:rPr>
  </w:style>
  <w:style w:type="character" w:customStyle="1" w:styleId="52">
    <w:name w:val="标题 4 字符"/>
    <w:basedOn w:val="28"/>
    <w:link w:val="7"/>
    <w:qFormat/>
    <w:uiPriority w:val="99"/>
    <w:rPr>
      <w:rFonts w:ascii="仿宋" w:hAnsi="仿宋" w:eastAsia="仿宋"/>
      <w:bCs/>
      <w:kern w:val="2"/>
      <w:sz w:val="28"/>
      <w:szCs w:val="28"/>
    </w:rPr>
  </w:style>
  <w:style w:type="character" w:customStyle="1" w:styleId="53">
    <w:name w:val="标题 5 字符"/>
    <w:basedOn w:val="28"/>
    <w:link w:val="8"/>
    <w:qFormat/>
    <w:uiPriority w:val="99"/>
    <w:rPr>
      <w:rFonts w:ascii="仿宋" w:hAnsi="仿宋" w:eastAsia="仿宋"/>
      <w:b/>
      <w:kern w:val="2"/>
      <w:sz w:val="28"/>
      <w:szCs w:val="24"/>
    </w:rPr>
  </w:style>
  <w:style w:type="character" w:customStyle="1" w:styleId="54">
    <w:name w:val="标题 6 字符"/>
    <w:basedOn w:val="28"/>
    <w:link w:val="9"/>
    <w:qFormat/>
    <w:uiPriority w:val="99"/>
    <w:rPr>
      <w:rFonts w:ascii="华文楷体" w:hAnsi="华文楷体" w:eastAsia="LF_Kai"/>
      <w:sz w:val="24"/>
      <w:lang w:val="en-GB" w:eastAsia="zh-HK"/>
    </w:rPr>
  </w:style>
  <w:style w:type="character" w:customStyle="1" w:styleId="55">
    <w:name w:val="标题 7 字符"/>
    <w:basedOn w:val="28"/>
    <w:link w:val="10"/>
    <w:qFormat/>
    <w:uiPriority w:val="99"/>
    <w:rPr>
      <w:rFonts w:ascii="华文楷体" w:hAnsi="华文楷体" w:eastAsia="LF_Kai"/>
      <w:sz w:val="24"/>
      <w:lang w:val="en-GB" w:eastAsia="zh-HK"/>
    </w:rPr>
  </w:style>
  <w:style w:type="character" w:customStyle="1" w:styleId="56">
    <w:name w:val="标题 8 字符"/>
    <w:basedOn w:val="28"/>
    <w:link w:val="11"/>
    <w:qFormat/>
    <w:uiPriority w:val="99"/>
    <w:rPr>
      <w:rFonts w:ascii="华文楷体" w:hAnsi="华文楷体" w:eastAsia="LF_Kai"/>
      <w:sz w:val="24"/>
      <w:lang w:val="en-GB" w:eastAsia="zh-HK"/>
    </w:rPr>
  </w:style>
  <w:style w:type="character" w:customStyle="1" w:styleId="57">
    <w:name w:val="标题 9 字符"/>
    <w:basedOn w:val="28"/>
    <w:link w:val="12"/>
    <w:qFormat/>
    <w:uiPriority w:val="99"/>
    <w:rPr>
      <w:rFonts w:ascii="华文楷体" w:hAnsi="华文楷体" w:eastAsia="LF_Kai"/>
      <w:sz w:val="24"/>
      <w:lang w:val="en-GB" w:eastAsia="zh-HK"/>
    </w:rPr>
  </w:style>
  <w:style w:type="character" w:customStyle="1" w:styleId="58">
    <w:name w:val="正文文本首行缩进 字符"/>
    <w:basedOn w:val="35"/>
    <w:link w:val="2"/>
    <w:qFormat/>
    <w:uiPriority w:val="99"/>
    <w:rPr>
      <w:rFonts w:ascii="Times New Roman" w:hAnsi="Times New Roman" w:eastAsia="宋体" w:cs="Times New Roman"/>
      <w:color w:val="000000"/>
      <w:kern w:val="0"/>
      <w:sz w:val="21"/>
      <w:szCs w:val="24"/>
      <w:lang w:val="en-GB"/>
    </w:rPr>
  </w:style>
  <w:style w:type="paragraph" w:customStyle="1" w:styleId="59">
    <w:name w:val="TOC 71"/>
    <w:basedOn w:val="1"/>
    <w:next w:val="1"/>
    <w:unhideWhenUsed/>
    <w:qFormat/>
    <w:uiPriority w:val="39"/>
    <w:pPr>
      <w:ind w:left="2520" w:leftChars="1200" w:firstLine="482"/>
    </w:pPr>
    <w:rPr>
      <w:rFonts w:ascii="Calibri" w:hAnsi="Calibri" w:eastAsia="宋体"/>
      <w:color w:val="auto"/>
      <w:szCs w:val="22"/>
    </w:rPr>
  </w:style>
  <w:style w:type="character" w:customStyle="1" w:styleId="60">
    <w:name w:val="正文文本缩进 字符"/>
    <w:basedOn w:val="28"/>
    <w:link w:val="14"/>
    <w:qFormat/>
    <w:uiPriority w:val="99"/>
    <w:rPr>
      <w:rFonts w:ascii="仿宋" w:hAnsi="仿宋" w:eastAsia="仿宋"/>
      <w:kern w:val="2"/>
      <w:sz w:val="24"/>
      <w:szCs w:val="24"/>
    </w:rPr>
  </w:style>
  <w:style w:type="paragraph" w:customStyle="1" w:styleId="61">
    <w:name w:val="TOC 51"/>
    <w:basedOn w:val="1"/>
    <w:next w:val="1"/>
    <w:unhideWhenUsed/>
    <w:qFormat/>
    <w:uiPriority w:val="39"/>
    <w:pPr>
      <w:ind w:left="1680" w:leftChars="800" w:firstLine="482"/>
    </w:pPr>
    <w:rPr>
      <w:rFonts w:ascii="Calibri" w:hAnsi="Calibri" w:eastAsia="宋体"/>
      <w:color w:val="auto"/>
      <w:szCs w:val="22"/>
    </w:rPr>
  </w:style>
  <w:style w:type="paragraph" w:customStyle="1" w:styleId="62">
    <w:name w:val="TOC 81"/>
    <w:basedOn w:val="1"/>
    <w:next w:val="1"/>
    <w:unhideWhenUsed/>
    <w:qFormat/>
    <w:uiPriority w:val="39"/>
    <w:pPr>
      <w:ind w:left="2940" w:leftChars="1400" w:firstLine="482"/>
    </w:pPr>
    <w:rPr>
      <w:rFonts w:ascii="Calibri" w:hAnsi="Calibri" w:eastAsia="宋体"/>
      <w:color w:val="auto"/>
      <w:szCs w:val="22"/>
    </w:rPr>
  </w:style>
  <w:style w:type="character" w:customStyle="1" w:styleId="63">
    <w:name w:val="日期 字符"/>
    <w:basedOn w:val="28"/>
    <w:link w:val="16"/>
    <w:qFormat/>
    <w:uiPriority w:val="0"/>
    <w:rPr>
      <w:rFonts w:ascii="仿宋" w:hAnsi="仿宋" w:eastAsia="仿宋"/>
      <w:kern w:val="2"/>
      <w:sz w:val="24"/>
      <w:szCs w:val="24"/>
    </w:rPr>
  </w:style>
  <w:style w:type="paragraph" w:customStyle="1" w:styleId="64">
    <w:name w:val="TOC 41"/>
    <w:basedOn w:val="1"/>
    <w:next w:val="1"/>
    <w:unhideWhenUsed/>
    <w:qFormat/>
    <w:uiPriority w:val="39"/>
    <w:pPr>
      <w:ind w:left="1260" w:leftChars="600" w:firstLine="482"/>
    </w:pPr>
    <w:rPr>
      <w:rFonts w:ascii="Calibri" w:hAnsi="Calibri" w:eastAsia="宋体"/>
      <w:color w:val="auto"/>
      <w:szCs w:val="22"/>
    </w:rPr>
  </w:style>
  <w:style w:type="character" w:customStyle="1" w:styleId="65">
    <w:name w:val="副标题 字符"/>
    <w:basedOn w:val="28"/>
    <w:link w:val="21"/>
    <w:qFormat/>
    <w:uiPriority w:val="99"/>
    <w:rPr>
      <w:rFonts w:ascii="Cambria" w:hAnsi="Cambria" w:eastAsia="黑体"/>
      <w:b/>
      <w:bCs/>
      <w:kern w:val="28"/>
      <w:sz w:val="24"/>
      <w:szCs w:val="32"/>
    </w:rPr>
  </w:style>
  <w:style w:type="paragraph" w:customStyle="1" w:styleId="66">
    <w:name w:val="TOC 61"/>
    <w:basedOn w:val="1"/>
    <w:next w:val="1"/>
    <w:unhideWhenUsed/>
    <w:qFormat/>
    <w:uiPriority w:val="39"/>
    <w:pPr>
      <w:ind w:left="2100" w:leftChars="1000" w:firstLine="482"/>
    </w:pPr>
    <w:rPr>
      <w:rFonts w:ascii="Calibri" w:hAnsi="Calibri" w:eastAsia="宋体"/>
      <w:color w:val="auto"/>
      <w:szCs w:val="22"/>
    </w:rPr>
  </w:style>
  <w:style w:type="paragraph" w:customStyle="1" w:styleId="67">
    <w:name w:val="TOC 91"/>
    <w:basedOn w:val="1"/>
    <w:next w:val="1"/>
    <w:unhideWhenUsed/>
    <w:qFormat/>
    <w:uiPriority w:val="39"/>
    <w:pPr>
      <w:ind w:left="3360" w:leftChars="1600" w:firstLine="482"/>
    </w:pPr>
    <w:rPr>
      <w:rFonts w:ascii="Calibri" w:hAnsi="Calibri" w:eastAsia="宋体"/>
      <w:color w:val="auto"/>
      <w:szCs w:val="22"/>
    </w:rPr>
  </w:style>
  <w:style w:type="character" w:customStyle="1" w:styleId="68">
    <w:name w:val="超链接1"/>
    <w:basedOn w:val="28"/>
    <w:unhideWhenUsed/>
    <w:qFormat/>
    <w:uiPriority w:val="99"/>
    <w:rPr>
      <w:color w:val="0563C1"/>
      <w:u w:val="single"/>
    </w:rPr>
  </w:style>
  <w:style w:type="paragraph" w:customStyle="1" w:styleId="69">
    <w:name w:val="Table Paragraph"/>
    <w:basedOn w:val="1"/>
    <w:qFormat/>
    <w:uiPriority w:val="1"/>
    <w:pPr>
      <w:ind w:firstLine="482"/>
    </w:pPr>
    <w:rPr>
      <w:rFonts w:ascii="宋体" w:hAnsi="宋体" w:cs="宋体"/>
      <w:color w:val="auto"/>
      <w:lang w:val="zh-CN" w:bidi="zh-CN"/>
    </w:rPr>
  </w:style>
  <w:style w:type="character" w:customStyle="1" w:styleId="70">
    <w:name w:val="font01"/>
    <w:basedOn w:val="28"/>
    <w:qFormat/>
    <w:uiPriority w:val="0"/>
    <w:rPr>
      <w:rFonts w:hint="eastAsia" w:ascii="仿宋" w:hAnsi="仿宋" w:eastAsia="仿宋" w:cs="仿宋"/>
      <w:color w:val="000000"/>
      <w:sz w:val="21"/>
      <w:szCs w:val="21"/>
      <w:u w:val="none"/>
    </w:rPr>
  </w:style>
  <w:style w:type="paragraph" w:customStyle="1" w:styleId="71">
    <w:name w:val="Normal_1"/>
    <w:qFormat/>
    <w:uiPriority w:val="0"/>
    <w:rPr>
      <w:rFonts w:ascii="Times New Roman" w:hAnsi="Times New Roman" w:eastAsia="宋体" w:cs="Times New Roman"/>
      <w:sz w:val="24"/>
      <w:szCs w:val="24"/>
      <w:lang w:val="en-US" w:eastAsia="zh-CN" w:bidi="ar-SA"/>
    </w:rPr>
  </w:style>
  <w:style w:type="paragraph" w:customStyle="1" w:styleId="72">
    <w:name w:val="列出段落1"/>
    <w:basedOn w:val="1"/>
    <w:qFormat/>
    <w:uiPriority w:val="99"/>
    <w:pPr>
      <w:ind w:firstLine="420"/>
    </w:pPr>
    <w:rPr>
      <w:color w:val="auto"/>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76">
    <w:name w:val="未处理的提及1"/>
    <w:basedOn w:val="28"/>
    <w:unhideWhenUsed/>
    <w:qFormat/>
    <w:uiPriority w:val="99"/>
    <w:rPr>
      <w:color w:val="605E5C"/>
      <w:shd w:val="clear" w:color="auto" w:fill="E1DFDD"/>
    </w:rPr>
  </w:style>
  <w:style w:type="paragraph" w:customStyle="1" w:styleId="7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78">
    <w:name w:val="正文1"/>
    <w:qFormat/>
    <w:uiPriority w:val="0"/>
    <w:pPr>
      <w:spacing w:line="420" w:lineRule="auto"/>
      <w:ind w:firstLine="560" w:firstLineChars="200"/>
    </w:pPr>
    <w:rPr>
      <w:rFonts w:ascii="宋体" w:hAnsi="宋体" w:eastAsia="宋体" w:cs="宋体"/>
      <w:sz w:val="28"/>
      <w:szCs w:val="22"/>
      <w:lang w:val="en-US" w:eastAsia="zh-CN" w:bidi="ar-SA"/>
    </w:rPr>
  </w:style>
  <w:style w:type="paragraph" w:customStyle="1" w:styleId="79">
    <w:name w:val="正文格式"/>
    <w:qFormat/>
    <w:uiPriority w:val="0"/>
    <w:pPr>
      <w:widowControl w:val="0"/>
      <w:ind w:firstLine="200" w:firstLineChars="200"/>
      <w:jc w:val="both"/>
    </w:pPr>
    <w:rPr>
      <w:rFonts w:ascii="仿宋" w:hAnsi="仿宋" w:eastAsia="仿宋" w:cs="Times New Roman"/>
      <w:kern w:val="2"/>
      <w:sz w:val="28"/>
      <w:szCs w:val="28"/>
      <w:lang w:val="en-US" w:eastAsia="zh-CN" w:bidi="ar-SA"/>
    </w:rPr>
  </w:style>
  <w:style w:type="paragraph" w:customStyle="1" w:styleId="80">
    <w:name w:val="标题3级"/>
    <w:basedOn w:val="1"/>
    <w:qFormat/>
    <w:uiPriority w:val="0"/>
    <w:pPr>
      <w:spacing w:line="420" w:lineRule="auto"/>
      <w:ind w:firstLine="482"/>
      <w:outlineLvl w:val="2"/>
    </w:pPr>
    <w:rPr>
      <w:rFonts w:ascii="宋体" w:hAnsi="宋体"/>
      <w:b/>
      <w:bCs/>
      <w:color w:val="auto"/>
      <w:sz w:val="28"/>
      <w:szCs w:val="20"/>
    </w:rPr>
  </w:style>
  <w:style w:type="paragraph" w:customStyle="1" w:styleId="8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82">
    <w:name w:val="font141"/>
    <w:basedOn w:val="28"/>
    <w:qFormat/>
    <w:uiPriority w:val="0"/>
    <w:rPr>
      <w:rFonts w:ascii="宋体" w:hAnsi="宋体" w:eastAsia="宋体" w:cs="宋体"/>
      <w:color w:val="000000"/>
      <w:sz w:val="12"/>
      <w:szCs w:val="12"/>
      <w:u w:val="none"/>
    </w:rPr>
  </w:style>
  <w:style w:type="paragraph" w:customStyle="1" w:styleId="83">
    <w:name w:val="TOC 标题1"/>
    <w:basedOn w:val="4"/>
    <w:next w:val="1"/>
    <w:unhideWhenUsed/>
    <w:qFormat/>
    <w:uiPriority w:val="39"/>
    <w:pPr>
      <w:keepNext/>
      <w:keepLines/>
      <w:pageBreakBefore/>
      <w:widowControl/>
      <w:spacing w:before="240" w:beforeLines="0" w:after="240" w:afterLines="0" w:line="259" w:lineRule="auto"/>
      <w:ind w:left="0" w:leftChars="0"/>
      <w:jc w:val="left"/>
      <w:outlineLvl w:val="9"/>
    </w:pPr>
    <w:rPr>
      <w:rFonts w:ascii="Calibri Light" w:hAnsi="Calibri Light" w:eastAsia="宋体"/>
      <w:color w:val="2E74B5"/>
      <w:kern w:val="0"/>
      <w:sz w:val="36"/>
      <w:szCs w:val="32"/>
    </w:rPr>
  </w:style>
  <w:style w:type="character" w:customStyle="1" w:styleId="84">
    <w:name w:val="未处理的提及2"/>
    <w:basedOn w:val="28"/>
    <w:unhideWhenUsed/>
    <w:qFormat/>
    <w:uiPriority w:val="99"/>
    <w:rPr>
      <w:color w:val="605E5C"/>
      <w:shd w:val="clear" w:color="auto" w:fill="E1DFDD"/>
    </w:rPr>
  </w:style>
  <w:style w:type="character" w:customStyle="1" w:styleId="85">
    <w:name w:val="font11"/>
    <w:qFormat/>
    <w:uiPriority w:val="0"/>
    <w:rPr>
      <w:rFonts w:hint="eastAsia" w:ascii="仿宋_GB2312" w:eastAsia="仿宋_GB2312"/>
      <w:color w:val="000000"/>
      <w:sz w:val="20"/>
      <w:szCs w:val="20"/>
      <w:u w:val="none"/>
    </w:rPr>
  </w:style>
  <w:style w:type="character" w:customStyle="1" w:styleId="86">
    <w:name w:val="font31"/>
    <w:qFormat/>
    <w:uiPriority w:val="0"/>
    <w:rPr>
      <w:rFonts w:hint="eastAsia" w:ascii="宋体" w:hAnsi="宋体" w:eastAsia="宋体" w:cs="宋体"/>
      <w:color w:val="000000"/>
      <w:sz w:val="16"/>
      <w:szCs w:val="16"/>
      <w:u w:val="none"/>
    </w:rPr>
  </w:style>
  <w:style w:type="character" w:customStyle="1" w:styleId="87">
    <w:name w:val="font81"/>
    <w:qFormat/>
    <w:uiPriority w:val="0"/>
    <w:rPr>
      <w:rFonts w:hint="eastAsia" w:ascii="宋体" w:hAnsi="宋体" w:eastAsia="宋体" w:cs="宋体"/>
      <w:b/>
      <w:color w:val="000000"/>
      <w:sz w:val="22"/>
      <w:szCs w:val="22"/>
      <w:u w:val="none"/>
    </w:rPr>
  </w:style>
  <w:style w:type="character" w:customStyle="1" w:styleId="88">
    <w:name w:val="Char Char4"/>
    <w:qFormat/>
    <w:uiPriority w:val="0"/>
    <w:rPr>
      <w:rFonts w:eastAsia="宋体"/>
      <w:kern w:val="2"/>
      <w:sz w:val="21"/>
      <w:szCs w:val="24"/>
      <w:lang w:val="en-US" w:eastAsia="zh-CN" w:bidi="ar-SA"/>
    </w:rPr>
  </w:style>
  <w:style w:type="character" w:customStyle="1" w:styleId="89">
    <w:name w:val="font51"/>
    <w:qFormat/>
    <w:uiPriority w:val="0"/>
    <w:rPr>
      <w:rFonts w:hint="eastAsia" w:ascii="宋体" w:hAnsi="宋体" w:eastAsia="宋体"/>
      <w:color w:val="000000"/>
      <w:sz w:val="20"/>
      <w:szCs w:val="20"/>
      <w:u w:val="none"/>
    </w:rPr>
  </w:style>
  <w:style w:type="character" w:customStyle="1" w:styleId="90">
    <w:name w:val="font21"/>
    <w:qFormat/>
    <w:uiPriority w:val="0"/>
    <w:rPr>
      <w:rFonts w:hint="default" w:ascii="Times New Roman" w:hAnsi="Times New Roman" w:cs="Times New Roman"/>
      <w:color w:val="000000"/>
      <w:sz w:val="20"/>
      <w:szCs w:val="20"/>
      <w:u w:val="none"/>
    </w:rPr>
  </w:style>
  <w:style w:type="character" w:customStyle="1" w:styleId="91">
    <w:name w:val="未处理的提及3"/>
    <w:unhideWhenUsed/>
    <w:qFormat/>
    <w:uiPriority w:val="99"/>
    <w:rPr>
      <w:color w:val="605E5C"/>
      <w:shd w:val="clear" w:color="auto" w:fill="E1DFDD"/>
    </w:rPr>
  </w:style>
  <w:style w:type="character" w:customStyle="1" w:styleId="92">
    <w:name w:val="正文文本缩进 字符1"/>
    <w:basedOn w:val="28"/>
    <w:qFormat/>
    <w:uiPriority w:val="0"/>
    <w:rPr>
      <w:kern w:val="2"/>
      <w:sz w:val="21"/>
      <w:szCs w:val="24"/>
    </w:rPr>
  </w:style>
  <w:style w:type="paragraph" w:customStyle="1" w:styleId="9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jc w:val="center"/>
    </w:pPr>
    <w:rPr>
      <w:rFonts w:ascii="宋体" w:hAnsi="宋体" w:cs="宋体"/>
      <w:color w:val="auto"/>
      <w:kern w:val="0"/>
      <w:sz w:val="16"/>
      <w:szCs w:val="16"/>
    </w:rPr>
  </w:style>
  <w:style w:type="paragraph" w:customStyle="1" w:styleId="94">
    <w:name w:val="样式4"/>
    <w:basedOn w:val="1"/>
    <w:qFormat/>
    <w:uiPriority w:val="0"/>
    <w:pPr>
      <w:spacing w:after="160"/>
      <w:ind w:firstLine="480"/>
    </w:pPr>
    <w:rPr>
      <w:rFonts w:eastAsia="华文中宋"/>
      <w:kern w:val="0"/>
    </w:rPr>
  </w:style>
  <w:style w:type="paragraph" w:customStyle="1" w:styleId="95">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pPr>
    <w:rPr>
      <w:rFonts w:ascii="宋体" w:hAnsi="宋体" w:cs="宋体"/>
      <w:kern w:val="0"/>
      <w:sz w:val="16"/>
      <w:szCs w:val="16"/>
    </w:rPr>
  </w:style>
  <w:style w:type="paragraph" w:customStyle="1" w:styleId="9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jc w:val="left"/>
    </w:pPr>
    <w:rPr>
      <w:rFonts w:ascii="宋体" w:hAnsi="宋体" w:cs="宋体"/>
      <w:color w:val="auto"/>
      <w:kern w:val="0"/>
      <w:sz w:val="16"/>
      <w:szCs w:val="16"/>
    </w:rPr>
  </w:style>
  <w:style w:type="paragraph" w:customStyle="1" w:styleId="9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jc w:val="left"/>
    </w:pPr>
    <w:rPr>
      <w:rFonts w:ascii="宋体" w:hAnsi="宋体" w:cs="宋体"/>
      <w:color w:val="auto"/>
      <w:kern w:val="0"/>
      <w:sz w:val="16"/>
      <w:szCs w:val="16"/>
    </w:rPr>
  </w:style>
  <w:style w:type="paragraph" w:customStyle="1" w:styleId="98">
    <w:name w:val="TOC 标题2"/>
    <w:basedOn w:val="4"/>
    <w:next w:val="1"/>
    <w:unhideWhenUsed/>
    <w:qFormat/>
    <w:uiPriority w:val="39"/>
    <w:pPr>
      <w:keepNext/>
      <w:keepLines/>
      <w:pageBreakBefore/>
      <w:widowControl/>
      <w:spacing w:before="240" w:beforeLines="0" w:after="240" w:afterLines="0" w:line="259" w:lineRule="auto"/>
      <w:ind w:left="0" w:leftChars="0" w:firstLine="504"/>
      <w:jc w:val="left"/>
      <w:outlineLvl w:val="9"/>
    </w:pPr>
    <w:rPr>
      <w:rFonts w:ascii="Cambria" w:hAnsi="Cambria" w:eastAsia="宋体"/>
      <w:color w:val="365F91"/>
      <w:kern w:val="0"/>
      <w:sz w:val="36"/>
      <w:szCs w:val="32"/>
      <w:lang w:eastAsia="en-US"/>
    </w:rPr>
  </w:style>
  <w:style w:type="paragraph" w:customStyle="1" w:styleId="99">
    <w:name w:val="xl83"/>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482"/>
      <w:jc w:val="center"/>
    </w:pPr>
    <w:rPr>
      <w:rFonts w:ascii="宋体" w:hAnsi="宋体" w:cs="宋体"/>
      <w:color w:val="auto"/>
      <w:kern w:val="0"/>
      <w:sz w:val="16"/>
      <w:szCs w:val="16"/>
    </w:rPr>
  </w:style>
  <w:style w:type="paragraph" w:customStyle="1" w:styleId="10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jc w:val="left"/>
    </w:pPr>
    <w:rPr>
      <w:rFonts w:ascii="宋体" w:hAnsi="宋体" w:cs="宋体"/>
      <w:color w:val="auto"/>
      <w:kern w:val="0"/>
      <w:sz w:val="16"/>
      <w:szCs w:val="16"/>
    </w:rPr>
  </w:style>
  <w:style w:type="paragraph" w:customStyle="1" w:styleId="101">
    <w:name w:val="章标题"/>
    <w:basedOn w:val="1"/>
    <w:next w:val="102"/>
    <w:qFormat/>
    <w:uiPriority w:val="0"/>
    <w:pPr>
      <w:widowControl/>
      <w:spacing w:before="158" w:after="153" w:line="323" w:lineRule="atLeast"/>
      <w:ind w:right="-120" w:firstLine="504"/>
      <w:jc w:val="center"/>
      <w:textAlignment w:val="baseline"/>
    </w:pPr>
    <w:rPr>
      <w:color w:val="FF0000"/>
      <w:kern w:val="0"/>
      <w:sz w:val="18"/>
      <w:szCs w:val="18"/>
    </w:rPr>
  </w:style>
  <w:style w:type="paragraph" w:customStyle="1" w:styleId="102">
    <w:name w:val="节标题"/>
    <w:basedOn w:val="1"/>
    <w:next w:val="1"/>
    <w:qFormat/>
    <w:uiPriority w:val="0"/>
    <w:pPr>
      <w:widowControl/>
      <w:spacing w:line="289" w:lineRule="atLeast"/>
      <w:ind w:firstLine="504"/>
      <w:jc w:val="center"/>
      <w:textAlignment w:val="baseline"/>
    </w:pPr>
    <w:rPr>
      <w:kern w:val="0"/>
      <w:sz w:val="28"/>
      <w:szCs w:val="20"/>
      <w:u w:color="000000"/>
    </w:rPr>
  </w:style>
  <w:style w:type="paragraph" w:customStyle="1" w:styleId="10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jc w:val="center"/>
    </w:pPr>
    <w:rPr>
      <w:rFonts w:ascii="宋体" w:hAnsi="宋体" w:cs="宋体"/>
      <w:color w:val="auto"/>
      <w:kern w:val="0"/>
      <w:sz w:val="16"/>
      <w:szCs w:val="16"/>
    </w:rPr>
  </w:style>
  <w:style w:type="paragraph" w:customStyle="1" w:styleId="104">
    <w:name w:val="xl82"/>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482"/>
      <w:jc w:val="center"/>
    </w:pPr>
    <w:rPr>
      <w:rFonts w:ascii="宋体" w:hAnsi="宋体" w:cs="宋体"/>
      <w:color w:val="auto"/>
      <w:kern w:val="0"/>
      <w:sz w:val="16"/>
      <w:szCs w:val="16"/>
    </w:rPr>
  </w:style>
  <w:style w:type="paragraph" w:customStyle="1" w:styleId="105">
    <w:name w:val="列表段落1"/>
    <w:basedOn w:val="1"/>
    <w:qFormat/>
    <w:uiPriority w:val="34"/>
    <w:pPr>
      <w:ind w:firstLine="420"/>
    </w:pPr>
    <w:rPr>
      <w:color w:val="auto"/>
    </w:rPr>
  </w:style>
  <w:style w:type="paragraph" w:customStyle="1" w:styleId="106">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482"/>
      <w:jc w:val="center"/>
    </w:pPr>
    <w:rPr>
      <w:rFonts w:ascii="宋体" w:hAnsi="宋体" w:cs="宋体"/>
      <w:color w:val="auto"/>
      <w:kern w:val="0"/>
      <w:sz w:val="16"/>
      <w:szCs w:val="16"/>
    </w:rPr>
  </w:style>
  <w:style w:type="table" w:customStyle="1" w:styleId="107">
    <w:name w:val="网格型6"/>
    <w:basedOn w:val="26"/>
    <w:qFormat/>
    <w:uiPriority w:val="59"/>
    <w:rPr>
      <w:rFonts w:ascii="Calibri"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8">
    <w:name w:val="未处理的提及4"/>
    <w:basedOn w:val="28"/>
    <w:unhideWhenUsed/>
    <w:qFormat/>
    <w:uiPriority w:val="99"/>
    <w:rPr>
      <w:color w:val="605E5C"/>
      <w:shd w:val="clear" w:color="auto" w:fill="E1DFDD"/>
    </w:rPr>
  </w:style>
  <w:style w:type="character" w:customStyle="1" w:styleId="109">
    <w:name w:val="未处理的提及5"/>
    <w:basedOn w:val="28"/>
    <w:unhideWhenUsed/>
    <w:qFormat/>
    <w:uiPriority w:val="99"/>
    <w:rPr>
      <w:color w:val="605E5C"/>
      <w:shd w:val="clear" w:color="auto" w:fill="E1DFDD"/>
    </w:rPr>
  </w:style>
  <w:style w:type="character" w:customStyle="1" w:styleId="110">
    <w:name w:val="font71"/>
    <w:qFormat/>
    <w:uiPriority w:val="0"/>
    <w:rPr>
      <w:rFonts w:hint="eastAsia" w:ascii="宋体" w:hAnsi="宋体" w:eastAsia="宋体" w:cs="宋体"/>
      <w:color w:val="000000"/>
      <w:sz w:val="12"/>
      <w:szCs w:val="12"/>
      <w:u w:val="none"/>
    </w:rPr>
  </w:style>
  <w:style w:type="character" w:customStyle="1" w:styleId="111">
    <w:name w:val="font61"/>
    <w:qFormat/>
    <w:uiPriority w:val="0"/>
    <w:rPr>
      <w:rFonts w:hint="eastAsia" w:ascii="宋体" w:hAnsi="宋体" w:eastAsia="宋体" w:cs="宋体"/>
      <w:color w:val="000000"/>
      <w:sz w:val="12"/>
      <w:szCs w:val="12"/>
      <w:u w:val="none"/>
    </w:rPr>
  </w:style>
  <w:style w:type="paragraph" w:customStyle="1" w:styleId="112">
    <w:name w:val="msonormal"/>
    <w:basedOn w:val="1"/>
    <w:qFormat/>
    <w:uiPriority w:val="0"/>
    <w:pPr>
      <w:widowControl/>
      <w:spacing w:before="100" w:beforeAutospacing="1" w:after="100" w:afterAutospacing="1"/>
      <w:ind w:firstLine="482"/>
      <w:jc w:val="left"/>
    </w:pPr>
    <w:rPr>
      <w:rFonts w:ascii="宋体" w:hAnsi="宋体" w:cs="宋体"/>
      <w:color w:val="auto"/>
      <w:kern w:val="0"/>
    </w:rPr>
  </w:style>
  <w:style w:type="paragraph" w:customStyle="1" w:styleId="113">
    <w:name w:val="font5"/>
    <w:basedOn w:val="1"/>
    <w:qFormat/>
    <w:uiPriority w:val="0"/>
    <w:pPr>
      <w:widowControl/>
      <w:spacing w:before="100" w:beforeAutospacing="1" w:after="100" w:afterAutospacing="1"/>
      <w:ind w:firstLine="482"/>
      <w:jc w:val="left"/>
    </w:pPr>
    <w:rPr>
      <w:rFonts w:ascii="宋体" w:hAnsi="宋体" w:cs="宋体"/>
      <w:color w:val="auto"/>
      <w:kern w:val="0"/>
      <w:sz w:val="20"/>
      <w:szCs w:val="20"/>
    </w:rPr>
  </w:style>
  <w:style w:type="paragraph" w:customStyle="1" w:styleId="114">
    <w:name w:val="xl85"/>
    <w:basedOn w:val="1"/>
    <w:qFormat/>
    <w:uiPriority w:val="0"/>
    <w:pPr>
      <w:widowControl/>
      <w:pBdr>
        <w:right w:val="single" w:color="000000" w:sz="8" w:space="0"/>
      </w:pBdr>
      <w:spacing w:before="100" w:beforeAutospacing="1" w:after="100" w:afterAutospacing="1"/>
      <w:ind w:firstLine="482"/>
      <w:jc w:val="left"/>
      <w:textAlignment w:val="top"/>
    </w:pPr>
    <w:rPr>
      <w:rFonts w:ascii="宋体" w:hAnsi="宋体" w:cs="宋体"/>
      <w:color w:val="auto"/>
      <w:kern w:val="0"/>
      <w:sz w:val="14"/>
      <w:szCs w:val="14"/>
    </w:rPr>
  </w:style>
  <w:style w:type="paragraph" w:customStyle="1" w:styleId="115">
    <w:name w:val="xl86"/>
    <w:basedOn w:val="1"/>
    <w:qFormat/>
    <w:uiPriority w:val="0"/>
    <w:pPr>
      <w:widowControl/>
      <w:pBdr>
        <w:right w:val="single" w:color="000000" w:sz="8" w:space="0"/>
      </w:pBdr>
      <w:spacing w:before="100" w:beforeAutospacing="1" w:after="100" w:afterAutospacing="1"/>
      <w:ind w:firstLine="482"/>
      <w:jc w:val="left"/>
      <w:textAlignment w:val="top"/>
    </w:pPr>
    <w:rPr>
      <w:rFonts w:ascii="宋体" w:hAnsi="宋体" w:cs="宋体"/>
      <w:color w:val="auto"/>
      <w:kern w:val="0"/>
    </w:rPr>
  </w:style>
  <w:style w:type="paragraph" w:customStyle="1" w:styleId="116">
    <w:name w:val="xl87"/>
    <w:basedOn w:val="1"/>
    <w:qFormat/>
    <w:uiPriority w:val="0"/>
    <w:pPr>
      <w:widowControl/>
      <w:pBdr>
        <w:left w:val="single" w:color="000000" w:sz="8" w:space="0"/>
        <w:bottom w:val="single" w:color="000000" w:sz="8" w:space="0"/>
        <w:right w:val="single" w:color="000000" w:sz="8" w:space="0"/>
      </w:pBdr>
      <w:spacing w:before="100" w:beforeAutospacing="1" w:after="100" w:afterAutospacing="1"/>
      <w:ind w:firstLine="482"/>
      <w:jc w:val="left"/>
    </w:pPr>
    <w:rPr>
      <w:rFonts w:ascii="宋体" w:hAnsi="宋体" w:cs="宋体"/>
      <w:color w:val="auto"/>
      <w:kern w:val="0"/>
    </w:rPr>
  </w:style>
  <w:style w:type="paragraph" w:customStyle="1" w:styleId="117">
    <w:name w:val="xl88"/>
    <w:basedOn w:val="1"/>
    <w:qFormat/>
    <w:uiPriority w:val="0"/>
    <w:pPr>
      <w:widowControl/>
      <w:pBdr>
        <w:bottom w:val="single" w:color="000000" w:sz="8" w:space="0"/>
        <w:right w:val="single" w:color="000000" w:sz="8" w:space="0"/>
      </w:pBdr>
      <w:spacing w:before="100" w:beforeAutospacing="1" w:after="100" w:afterAutospacing="1"/>
      <w:ind w:firstLine="482"/>
      <w:jc w:val="left"/>
    </w:pPr>
    <w:rPr>
      <w:rFonts w:ascii="宋体" w:hAnsi="宋体" w:cs="宋体"/>
      <w:color w:val="auto"/>
      <w:kern w:val="0"/>
    </w:rPr>
  </w:style>
  <w:style w:type="paragraph" w:customStyle="1" w:styleId="118">
    <w:name w:val="xl89"/>
    <w:basedOn w:val="1"/>
    <w:qFormat/>
    <w:uiPriority w:val="0"/>
    <w:pPr>
      <w:widowControl/>
      <w:pBdr>
        <w:bottom w:val="single" w:color="000000" w:sz="8" w:space="0"/>
        <w:right w:val="single" w:color="000000" w:sz="8" w:space="0"/>
      </w:pBdr>
      <w:spacing w:before="100" w:beforeAutospacing="1" w:after="100" w:afterAutospacing="1"/>
      <w:ind w:firstLine="482"/>
      <w:jc w:val="left"/>
      <w:textAlignment w:val="top"/>
    </w:pPr>
    <w:rPr>
      <w:rFonts w:ascii="宋体" w:hAnsi="宋体" w:cs="宋体"/>
      <w:color w:val="auto"/>
      <w:kern w:val="0"/>
      <w:sz w:val="20"/>
      <w:szCs w:val="20"/>
    </w:rPr>
  </w:style>
  <w:style w:type="paragraph" w:customStyle="1" w:styleId="119">
    <w:name w:val="xl90"/>
    <w:basedOn w:val="1"/>
    <w:qFormat/>
    <w:uiPriority w:val="0"/>
    <w:pPr>
      <w:widowControl/>
      <w:pBdr>
        <w:left w:val="single" w:color="000000" w:sz="8" w:space="0"/>
        <w:bottom w:val="single" w:color="000000" w:sz="8" w:space="0"/>
        <w:right w:val="single" w:color="000000" w:sz="8" w:space="0"/>
      </w:pBdr>
      <w:spacing w:before="100" w:beforeAutospacing="1" w:after="100" w:afterAutospacing="1"/>
      <w:ind w:firstLine="482"/>
      <w:jc w:val="center"/>
      <w:textAlignment w:val="top"/>
    </w:pPr>
    <w:rPr>
      <w:rFonts w:ascii="宋体" w:hAnsi="宋体" w:cs="宋体"/>
      <w:color w:val="auto"/>
      <w:kern w:val="0"/>
      <w:sz w:val="20"/>
      <w:szCs w:val="20"/>
    </w:rPr>
  </w:style>
  <w:style w:type="paragraph" w:customStyle="1" w:styleId="120">
    <w:name w:val="xl91"/>
    <w:basedOn w:val="1"/>
    <w:qFormat/>
    <w:uiPriority w:val="0"/>
    <w:pPr>
      <w:widowControl/>
      <w:pBdr>
        <w:bottom w:val="single" w:color="000000" w:sz="8" w:space="0"/>
        <w:right w:val="single" w:color="000000" w:sz="8" w:space="0"/>
      </w:pBdr>
      <w:spacing w:before="100" w:beforeAutospacing="1" w:after="100" w:afterAutospacing="1"/>
      <w:ind w:firstLine="482"/>
      <w:jc w:val="right"/>
      <w:textAlignment w:val="top"/>
    </w:pPr>
    <w:rPr>
      <w:rFonts w:ascii="宋体" w:hAnsi="宋体" w:cs="宋体"/>
      <w:color w:val="auto"/>
      <w:kern w:val="0"/>
      <w:sz w:val="20"/>
      <w:szCs w:val="20"/>
    </w:rPr>
  </w:style>
  <w:style w:type="paragraph" w:customStyle="1" w:styleId="121">
    <w:name w:val="xl92"/>
    <w:basedOn w:val="1"/>
    <w:qFormat/>
    <w:uiPriority w:val="0"/>
    <w:pPr>
      <w:widowControl/>
      <w:pBdr>
        <w:bottom w:val="single" w:color="000000" w:sz="8" w:space="0"/>
        <w:right w:val="single" w:color="000000" w:sz="8" w:space="0"/>
      </w:pBdr>
      <w:spacing w:before="100" w:beforeAutospacing="1" w:after="100" w:afterAutospacing="1"/>
      <w:ind w:firstLine="482"/>
      <w:jc w:val="left"/>
      <w:textAlignment w:val="top"/>
    </w:pPr>
    <w:rPr>
      <w:color w:val="auto"/>
      <w:kern w:val="0"/>
      <w:sz w:val="20"/>
      <w:szCs w:val="20"/>
    </w:rPr>
  </w:style>
  <w:style w:type="paragraph" w:customStyle="1" w:styleId="122">
    <w:name w:val="xl93"/>
    <w:basedOn w:val="1"/>
    <w:qFormat/>
    <w:uiPriority w:val="0"/>
    <w:pPr>
      <w:widowControl/>
      <w:pBdr>
        <w:top w:val="single" w:color="000000" w:sz="8" w:space="0"/>
        <w:left w:val="single" w:color="000000" w:sz="8" w:space="0"/>
        <w:bottom w:val="single" w:color="000000" w:sz="8" w:space="0"/>
        <w:right w:val="single" w:color="000000" w:sz="8" w:space="0"/>
      </w:pBdr>
      <w:spacing w:before="100" w:beforeAutospacing="1" w:after="100" w:afterAutospacing="1"/>
      <w:ind w:firstLine="482"/>
      <w:jc w:val="center"/>
      <w:textAlignment w:val="top"/>
    </w:pPr>
    <w:rPr>
      <w:rFonts w:ascii="宋体" w:hAnsi="宋体" w:cs="宋体"/>
      <w:color w:val="auto"/>
      <w:kern w:val="0"/>
      <w:sz w:val="20"/>
      <w:szCs w:val="20"/>
    </w:rPr>
  </w:style>
  <w:style w:type="paragraph" w:customStyle="1" w:styleId="123">
    <w:name w:val="xl94"/>
    <w:basedOn w:val="1"/>
    <w:qFormat/>
    <w:uiPriority w:val="0"/>
    <w:pPr>
      <w:widowControl/>
      <w:pBdr>
        <w:top w:val="single" w:color="000000" w:sz="8" w:space="0"/>
        <w:bottom w:val="single" w:color="000000" w:sz="8" w:space="0"/>
        <w:right w:val="single" w:color="000000" w:sz="8" w:space="0"/>
      </w:pBdr>
      <w:spacing w:before="100" w:beforeAutospacing="1" w:after="100" w:afterAutospacing="1"/>
      <w:ind w:firstLine="482"/>
      <w:jc w:val="center"/>
      <w:textAlignment w:val="top"/>
    </w:pPr>
    <w:rPr>
      <w:rFonts w:ascii="宋体" w:hAnsi="宋体" w:cs="宋体"/>
      <w:color w:val="auto"/>
      <w:kern w:val="0"/>
      <w:sz w:val="20"/>
      <w:szCs w:val="20"/>
    </w:rPr>
  </w:style>
  <w:style w:type="paragraph" w:customStyle="1" w:styleId="124">
    <w:name w:val="xl95"/>
    <w:basedOn w:val="1"/>
    <w:qFormat/>
    <w:uiPriority w:val="0"/>
    <w:pPr>
      <w:widowControl/>
      <w:pBdr>
        <w:top w:val="single" w:color="000000" w:sz="8" w:space="0"/>
        <w:bottom w:val="single" w:color="000000" w:sz="8" w:space="0"/>
        <w:right w:val="single" w:color="000000" w:sz="8" w:space="0"/>
      </w:pBdr>
      <w:spacing w:before="100" w:beforeAutospacing="1" w:after="100" w:afterAutospacing="1"/>
      <w:ind w:firstLine="482"/>
      <w:jc w:val="right"/>
      <w:textAlignment w:val="top"/>
    </w:pPr>
    <w:rPr>
      <w:rFonts w:ascii="宋体" w:hAnsi="宋体" w:cs="宋体"/>
      <w:color w:val="auto"/>
      <w:kern w:val="0"/>
      <w:sz w:val="20"/>
      <w:szCs w:val="20"/>
    </w:rPr>
  </w:style>
  <w:style w:type="paragraph" w:customStyle="1" w:styleId="125">
    <w:name w:val="xl96"/>
    <w:basedOn w:val="1"/>
    <w:qFormat/>
    <w:uiPriority w:val="0"/>
    <w:pPr>
      <w:widowControl/>
      <w:pBdr>
        <w:top w:val="single" w:color="000000" w:sz="8" w:space="0"/>
        <w:bottom w:val="single" w:color="000000" w:sz="8" w:space="0"/>
        <w:right w:val="single" w:color="000000" w:sz="8" w:space="0"/>
      </w:pBdr>
      <w:spacing w:before="100" w:beforeAutospacing="1" w:after="100" w:afterAutospacing="1"/>
      <w:ind w:firstLine="482"/>
      <w:jc w:val="left"/>
      <w:textAlignment w:val="top"/>
    </w:pPr>
    <w:rPr>
      <w:color w:val="auto"/>
      <w:kern w:val="0"/>
      <w:sz w:val="18"/>
      <w:szCs w:val="18"/>
    </w:rPr>
  </w:style>
  <w:style w:type="paragraph" w:customStyle="1" w:styleId="126">
    <w:name w:val="xl97"/>
    <w:basedOn w:val="1"/>
    <w:qFormat/>
    <w:uiPriority w:val="0"/>
    <w:pPr>
      <w:widowControl/>
      <w:pBdr>
        <w:bottom w:val="single" w:color="000000" w:sz="8" w:space="0"/>
        <w:right w:val="single" w:color="000000" w:sz="8" w:space="0"/>
      </w:pBdr>
      <w:spacing w:before="100" w:beforeAutospacing="1" w:after="100" w:afterAutospacing="1"/>
      <w:ind w:firstLine="482"/>
      <w:jc w:val="left"/>
      <w:textAlignment w:val="top"/>
    </w:pPr>
    <w:rPr>
      <w:color w:val="auto"/>
      <w:kern w:val="0"/>
      <w:sz w:val="18"/>
      <w:szCs w:val="18"/>
    </w:rPr>
  </w:style>
  <w:style w:type="paragraph" w:customStyle="1" w:styleId="127">
    <w:name w:val="xl98"/>
    <w:basedOn w:val="1"/>
    <w:qFormat/>
    <w:uiPriority w:val="0"/>
    <w:pPr>
      <w:widowControl/>
      <w:pBdr>
        <w:left w:val="single" w:color="000000" w:sz="8" w:space="0"/>
        <w:right w:val="single" w:color="000000" w:sz="8" w:space="0"/>
      </w:pBdr>
      <w:spacing w:before="100" w:beforeAutospacing="1" w:after="100" w:afterAutospacing="1"/>
      <w:ind w:firstLine="482"/>
      <w:jc w:val="left"/>
      <w:textAlignment w:val="top"/>
    </w:pPr>
    <w:rPr>
      <w:rFonts w:ascii="宋体" w:hAnsi="宋体" w:cs="宋体"/>
      <w:color w:val="auto"/>
      <w:kern w:val="0"/>
      <w:sz w:val="19"/>
      <w:szCs w:val="19"/>
    </w:rPr>
  </w:style>
  <w:style w:type="paragraph" w:customStyle="1" w:styleId="128">
    <w:name w:val="xl99"/>
    <w:basedOn w:val="1"/>
    <w:qFormat/>
    <w:uiPriority w:val="0"/>
    <w:pPr>
      <w:widowControl/>
      <w:pBdr>
        <w:right w:val="single" w:color="000000" w:sz="8" w:space="0"/>
      </w:pBdr>
      <w:spacing w:before="100" w:beforeAutospacing="1" w:after="100" w:afterAutospacing="1"/>
      <w:ind w:firstLine="482"/>
      <w:jc w:val="left"/>
      <w:textAlignment w:val="top"/>
    </w:pPr>
    <w:rPr>
      <w:rFonts w:ascii="宋体" w:hAnsi="宋体" w:cs="宋体"/>
      <w:color w:val="auto"/>
      <w:kern w:val="0"/>
      <w:sz w:val="19"/>
      <w:szCs w:val="19"/>
    </w:rPr>
  </w:style>
  <w:style w:type="paragraph" w:customStyle="1" w:styleId="129">
    <w:name w:val="xl100"/>
    <w:basedOn w:val="1"/>
    <w:qFormat/>
    <w:uiPriority w:val="0"/>
    <w:pPr>
      <w:widowControl/>
      <w:pBdr>
        <w:left w:val="single" w:color="000000" w:sz="8" w:space="0"/>
        <w:right w:val="single" w:color="000000" w:sz="8" w:space="0"/>
      </w:pBdr>
      <w:spacing w:before="100" w:beforeAutospacing="1" w:after="100" w:afterAutospacing="1"/>
      <w:ind w:firstLine="482"/>
      <w:jc w:val="left"/>
      <w:textAlignment w:val="top"/>
    </w:pPr>
    <w:rPr>
      <w:rFonts w:ascii="宋体" w:hAnsi="宋体" w:cs="宋体"/>
      <w:color w:val="auto"/>
      <w:kern w:val="0"/>
      <w:sz w:val="16"/>
      <w:szCs w:val="16"/>
    </w:rPr>
  </w:style>
  <w:style w:type="paragraph" w:customStyle="1" w:styleId="130">
    <w:name w:val="xl101"/>
    <w:basedOn w:val="1"/>
    <w:qFormat/>
    <w:uiPriority w:val="0"/>
    <w:pPr>
      <w:widowControl/>
      <w:pBdr>
        <w:right w:val="single" w:color="000000" w:sz="8" w:space="0"/>
      </w:pBdr>
      <w:spacing w:before="100" w:beforeAutospacing="1" w:after="100" w:afterAutospacing="1"/>
      <w:ind w:firstLine="482"/>
      <w:jc w:val="left"/>
      <w:textAlignment w:val="top"/>
    </w:pPr>
    <w:rPr>
      <w:rFonts w:ascii="宋体" w:hAnsi="宋体" w:cs="宋体"/>
      <w:color w:val="auto"/>
      <w:kern w:val="0"/>
      <w:sz w:val="16"/>
      <w:szCs w:val="16"/>
    </w:rPr>
  </w:style>
  <w:style w:type="paragraph" w:customStyle="1" w:styleId="131">
    <w:name w:val="xl102"/>
    <w:basedOn w:val="1"/>
    <w:qFormat/>
    <w:uiPriority w:val="0"/>
    <w:pPr>
      <w:widowControl/>
      <w:pBdr>
        <w:top w:val="single" w:color="000000" w:sz="8" w:space="0"/>
        <w:left w:val="single" w:color="000000" w:sz="8" w:space="0"/>
        <w:right w:val="single" w:color="000000" w:sz="8" w:space="0"/>
      </w:pBdr>
      <w:spacing w:before="100" w:beforeAutospacing="1" w:after="100" w:afterAutospacing="1"/>
      <w:ind w:firstLine="482"/>
      <w:jc w:val="left"/>
      <w:textAlignment w:val="top"/>
    </w:pPr>
    <w:rPr>
      <w:color w:val="auto"/>
      <w:kern w:val="0"/>
      <w:sz w:val="20"/>
      <w:szCs w:val="20"/>
    </w:rPr>
  </w:style>
  <w:style w:type="paragraph" w:customStyle="1" w:styleId="132">
    <w:name w:val="xl103"/>
    <w:basedOn w:val="1"/>
    <w:qFormat/>
    <w:uiPriority w:val="0"/>
    <w:pPr>
      <w:widowControl/>
      <w:pBdr>
        <w:top w:val="single" w:color="000000" w:sz="8" w:space="0"/>
        <w:right w:val="single" w:color="000000" w:sz="8" w:space="0"/>
      </w:pBdr>
      <w:spacing w:before="100" w:beforeAutospacing="1" w:after="100" w:afterAutospacing="1"/>
      <w:ind w:firstLine="482"/>
      <w:jc w:val="left"/>
      <w:textAlignment w:val="top"/>
    </w:pPr>
    <w:rPr>
      <w:color w:val="auto"/>
      <w:kern w:val="0"/>
      <w:sz w:val="20"/>
      <w:szCs w:val="20"/>
    </w:rPr>
  </w:style>
  <w:style w:type="paragraph" w:customStyle="1" w:styleId="133">
    <w:name w:val="xl104"/>
    <w:basedOn w:val="1"/>
    <w:qFormat/>
    <w:uiPriority w:val="0"/>
    <w:pPr>
      <w:widowControl/>
      <w:pBdr>
        <w:left w:val="single" w:color="000000" w:sz="8" w:space="0"/>
        <w:right w:val="single" w:color="000000" w:sz="8" w:space="0"/>
      </w:pBdr>
      <w:spacing w:before="100" w:beforeAutospacing="1" w:after="100" w:afterAutospacing="1"/>
      <w:ind w:firstLine="482"/>
      <w:jc w:val="left"/>
      <w:textAlignment w:val="top"/>
    </w:pPr>
    <w:rPr>
      <w:color w:val="auto"/>
      <w:kern w:val="0"/>
      <w:sz w:val="19"/>
      <w:szCs w:val="19"/>
    </w:rPr>
  </w:style>
  <w:style w:type="paragraph" w:customStyle="1" w:styleId="134">
    <w:name w:val="xl105"/>
    <w:basedOn w:val="1"/>
    <w:qFormat/>
    <w:uiPriority w:val="0"/>
    <w:pPr>
      <w:widowControl/>
      <w:pBdr>
        <w:right w:val="single" w:color="000000" w:sz="8" w:space="0"/>
      </w:pBdr>
      <w:spacing w:before="100" w:beforeAutospacing="1" w:after="100" w:afterAutospacing="1"/>
      <w:ind w:firstLine="482"/>
      <w:jc w:val="left"/>
      <w:textAlignment w:val="top"/>
    </w:pPr>
    <w:rPr>
      <w:color w:val="auto"/>
      <w:kern w:val="0"/>
      <w:sz w:val="20"/>
      <w:szCs w:val="20"/>
    </w:rPr>
  </w:style>
  <w:style w:type="paragraph" w:customStyle="1" w:styleId="135">
    <w:name w:val="xl106"/>
    <w:basedOn w:val="1"/>
    <w:qFormat/>
    <w:uiPriority w:val="0"/>
    <w:pPr>
      <w:widowControl/>
      <w:pBdr>
        <w:left w:val="single" w:color="000000" w:sz="8" w:space="0"/>
        <w:right w:val="single" w:color="000000" w:sz="8" w:space="0"/>
      </w:pBdr>
      <w:spacing w:before="100" w:beforeAutospacing="1" w:after="100" w:afterAutospacing="1"/>
      <w:ind w:firstLine="482"/>
      <w:jc w:val="center"/>
      <w:textAlignment w:val="top"/>
    </w:pPr>
    <w:rPr>
      <w:rFonts w:ascii="宋体" w:hAnsi="宋体" w:cs="宋体"/>
      <w:color w:val="auto"/>
      <w:kern w:val="0"/>
      <w:sz w:val="20"/>
      <w:szCs w:val="20"/>
    </w:rPr>
  </w:style>
  <w:style w:type="paragraph" w:customStyle="1" w:styleId="136">
    <w:name w:val="xl107"/>
    <w:basedOn w:val="1"/>
    <w:qFormat/>
    <w:uiPriority w:val="0"/>
    <w:pPr>
      <w:widowControl/>
      <w:pBdr>
        <w:right w:val="single" w:color="000000" w:sz="8" w:space="0"/>
      </w:pBdr>
      <w:spacing w:before="100" w:beforeAutospacing="1" w:after="100" w:afterAutospacing="1"/>
      <w:ind w:firstLine="482"/>
      <w:jc w:val="left"/>
      <w:textAlignment w:val="top"/>
    </w:pPr>
    <w:rPr>
      <w:color w:val="auto"/>
      <w:kern w:val="0"/>
      <w:sz w:val="19"/>
      <w:szCs w:val="19"/>
    </w:rPr>
  </w:style>
  <w:style w:type="paragraph" w:customStyle="1" w:styleId="137">
    <w:name w:val="xl108"/>
    <w:basedOn w:val="1"/>
    <w:qFormat/>
    <w:uiPriority w:val="0"/>
    <w:pPr>
      <w:widowControl/>
      <w:pBdr>
        <w:left w:val="single" w:color="000000" w:sz="8" w:space="0"/>
        <w:right w:val="single" w:color="000000" w:sz="8" w:space="0"/>
      </w:pBdr>
      <w:spacing w:before="100" w:beforeAutospacing="1" w:after="100" w:afterAutospacing="1"/>
      <w:ind w:firstLine="482"/>
      <w:jc w:val="left"/>
      <w:textAlignment w:val="top"/>
    </w:pPr>
    <w:rPr>
      <w:color w:val="auto"/>
      <w:kern w:val="0"/>
      <w:sz w:val="20"/>
      <w:szCs w:val="20"/>
    </w:rPr>
  </w:style>
  <w:style w:type="paragraph" w:customStyle="1" w:styleId="138">
    <w:name w:val="xl109"/>
    <w:basedOn w:val="1"/>
    <w:qFormat/>
    <w:uiPriority w:val="0"/>
    <w:pPr>
      <w:widowControl/>
      <w:pBdr>
        <w:left w:val="single" w:color="000000" w:sz="8" w:space="0"/>
        <w:right w:val="single" w:color="000000" w:sz="8" w:space="0"/>
      </w:pBdr>
      <w:spacing w:before="100" w:beforeAutospacing="1" w:after="100" w:afterAutospacing="1"/>
      <w:ind w:firstLine="482"/>
      <w:jc w:val="left"/>
      <w:textAlignment w:val="top"/>
    </w:pPr>
    <w:rPr>
      <w:color w:val="auto"/>
      <w:kern w:val="0"/>
      <w:sz w:val="18"/>
      <w:szCs w:val="18"/>
    </w:rPr>
  </w:style>
  <w:style w:type="paragraph" w:customStyle="1" w:styleId="139">
    <w:name w:val="xl110"/>
    <w:basedOn w:val="1"/>
    <w:qFormat/>
    <w:uiPriority w:val="0"/>
    <w:pPr>
      <w:widowControl/>
      <w:pBdr>
        <w:right w:val="single" w:color="000000" w:sz="8" w:space="0"/>
      </w:pBdr>
      <w:spacing w:before="100" w:beforeAutospacing="1" w:after="100" w:afterAutospacing="1"/>
      <w:ind w:firstLine="482"/>
      <w:jc w:val="left"/>
      <w:textAlignment w:val="top"/>
    </w:pPr>
    <w:rPr>
      <w:color w:val="auto"/>
      <w:kern w:val="0"/>
      <w:sz w:val="18"/>
      <w:szCs w:val="18"/>
    </w:rPr>
  </w:style>
  <w:style w:type="paragraph" w:customStyle="1" w:styleId="140">
    <w:name w:val="xl111"/>
    <w:basedOn w:val="1"/>
    <w:qFormat/>
    <w:uiPriority w:val="0"/>
    <w:pPr>
      <w:widowControl/>
      <w:pBdr>
        <w:left w:val="single" w:color="000000" w:sz="8" w:space="0"/>
        <w:right w:val="single" w:color="000000" w:sz="8" w:space="0"/>
      </w:pBdr>
      <w:spacing w:before="100" w:beforeAutospacing="1" w:after="100" w:afterAutospacing="1"/>
      <w:ind w:firstLine="482"/>
      <w:jc w:val="left"/>
      <w:textAlignment w:val="top"/>
    </w:pPr>
    <w:rPr>
      <w:color w:val="auto"/>
      <w:kern w:val="0"/>
    </w:rPr>
  </w:style>
  <w:style w:type="paragraph" w:customStyle="1" w:styleId="141">
    <w:name w:val="xl112"/>
    <w:basedOn w:val="1"/>
    <w:qFormat/>
    <w:uiPriority w:val="0"/>
    <w:pPr>
      <w:widowControl/>
      <w:pBdr>
        <w:right w:val="single" w:color="000000" w:sz="8" w:space="0"/>
      </w:pBdr>
      <w:spacing w:before="100" w:beforeAutospacing="1" w:after="100" w:afterAutospacing="1"/>
      <w:ind w:firstLine="482"/>
      <w:jc w:val="left"/>
      <w:textAlignment w:val="top"/>
    </w:pPr>
    <w:rPr>
      <w:color w:val="auto"/>
      <w:kern w:val="0"/>
    </w:rPr>
  </w:style>
  <w:style w:type="paragraph" w:customStyle="1" w:styleId="142">
    <w:name w:val="xl113"/>
    <w:basedOn w:val="1"/>
    <w:qFormat/>
    <w:uiPriority w:val="0"/>
    <w:pPr>
      <w:widowControl/>
      <w:pBdr>
        <w:right w:val="single" w:color="000000" w:sz="8" w:space="0"/>
      </w:pBdr>
      <w:spacing w:before="100" w:beforeAutospacing="1" w:after="100" w:afterAutospacing="1"/>
      <w:ind w:firstLine="482"/>
      <w:jc w:val="center"/>
      <w:textAlignment w:val="top"/>
    </w:pPr>
    <w:rPr>
      <w:rFonts w:ascii="宋体" w:hAnsi="宋体" w:cs="宋体"/>
      <w:color w:val="auto"/>
      <w:kern w:val="0"/>
      <w:sz w:val="20"/>
      <w:szCs w:val="20"/>
    </w:rPr>
  </w:style>
  <w:style w:type="paragraph" w:customStyle="1" w:styleId="143">
    <w:name w:val="xl114"/>
    <w:basedOn w:val="1"/>
    <w:qFormat/>
    <w:uiPriority w:val="0"/>
    <w:pPr>
      <w:widowControl/>
      <w:pBdr>
        <w:right w:val="single" w:color="000000" w:sz="8" w:space="0"/>
      </w:pBdr>
      <w:spacing w:before="100" w:beforeAutospacing="1" w:after="100" w:afterAutospacing="1"/>
      <w:ind w:firstLine="482"/>
      <w:jc w:val="left"/>
    </w:pPr>
    <w:rPr>
      <w:rFonts w:ascii="宋体" w:hAnsi="宋体" w:cs="宋体"/>
      <w:color w:val="auto"/>
      <w:kern w:val="0"/>
    </w:rPr>
  </w:style>
  <w:style w:type="paragraph" w:customStyle="1" w:styleId="144">
    <w:name w:val="图表标题"/>
    <w:basedOn w:val="1"/>
    <w:qFormat/>
    <w:uiPriority w:val="0"/>
    <w:pPr>
      <w:spacing w:before="60" w:after="60"/>
      <w:ind w:firstLine="0" w:firstLineChars="0"/>
      <w:jc w:val="center"/>
    </w:pPr>
    <w:rPr>
      <w:rFonts w:hint="eastAsia" w:cs="仿宋"/>
      <w:b/>
      <w:color w:val="auto"/>
    </w:rPr>
  </w:style>
  <w:style w:type="paragraph" w:customStyle="1" w:styleId="145">
    <w:name w:val="修订2"/>
    <w:hidden/>
    <w:semiHidden/>
    <w:qFormat/>
    <w:uiPriority w:val="99"/>
    <w:rPr>
      <w:rFonts w:ascii="仿宋" w:hAnsi="仿宋" w:eastAsia="仿宋" w:cs="Times New Roman"/>
      <w:kern w:val="2"/>
      <w:sz w:val="24"/>
      <w:szCs w:val="24"/>
      <w:lang w:val="en-US" w:eastAsia="zh-CN" w:bidi="ar-SA"/>
    </w:rPr>
  </w:style>
  <w:style w:type="character" w:customStyle="1" w:styleId="146">
    <w:name w:val="未处理的提及6"/>
    <w:basedOn w:val="28"/>
    <w:unhideWhenUsed/>
    <w:qFormat/>
    <w:uiPriority w:val="99"/>
    <w:rPr>
      <w:color w:val="605E5C"/>
      <w:shd w:val="clear" w:color="auto" w:fill="E1DFDD"/>
    </w:rPr>
  </w:style>
  <w:style w:type="paragraph" w:customStyle="1" w:styleId="147">
    <w:name w:val="Body text|1"/>
    <w:basedOn w:val="1"/>
    <w:qFormat/>
    <w:uiPriority w:val="0"/>
    <w:pPr>
      <w:spacing w:line="389" w:lineRule="auto"/>
      <w:ind w:firstLine="400"/>
    </w:pPr>
    <w:rPr>
      <w:rFonts w:ascii="宋体" w:hAnsi="宋体" w:eastAsia="宋体" w:cs="宋体"/>
      <w:color w:val="auto"/>
      <w:sz w:val="30"/>
      <w:szCs w:val="30"/>
      <w:lang w:val="zh-TW" w:eastAsia="zh-TW" w:bidi="zh-TW"/>
    </w:rPr>
  </w:style>
  <w:style w:type="table" w:customStyle="1" w:styleId="148">
    <w:name w:val="Table Normal1"/>
    <w:autoRedefine/>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49">
    <w:name w:val="Table Normal2"/>
    <w:autoRedefine/>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50">
    <w:name w:val="Table Normal3"/>
    <w:autoRedefine/>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51">
    <w:name w:val="Table Normal4"/>
    <w:autoRedefine/>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52">
    <w:name w:val="Table Normal5"/>
    <w:autoRedefine/>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3268</Words>
  <Characters>4898</Characters>
  <Lines>91</Lines>
  <Paragraphs>25</Paragraphs>
  <TotalTime>1</TotalTime>
  <ScaleCrop>false</ScaleCrop>
  <LinksUpToDate>false</LinksUpToDate>
  <CharactersWithSpaces>4933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2021-05-25T18:34:00Z</dcterms:created>
  <dc:creator>1124053244@qq.com</dc:creator>
  <cp:lastModifiedBy>$夏至未至$</cp:lastModifiedBy>
  <dcterms:modified xsi:type="dcterms:W3CDTF">2025-07-11T09:11:01Z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4B62EB86364F486D8CF870184A3D8576</vt:lpwstr>
  </property>
  <property fmtid="{D5CDD505-2E9C-101B-9397-08002B2CF9AE}" pid="4" name="KSOTemplateDocerSaveRecord">
    <vt:lpwstr>eyJoZGlkIjoiNzZjZTAwZDJjNTA2NTg5NDE3OWIwMWQ0ZWMyMGVkN2UiLCJ1c2VySWQiOiI2MTUwNzU1NzAifQ==</vt:lpwstr>
  </property>
</Properties>
</file>